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4E79"/>
          <w:sz w:val="44"/>
          <w:szCs w:val="44"/>
        </w:rPr>
        <w:t xml:space="preserve">Marktpotenzial-Analyse</w:t>
      </w:r>
    </w:p>
    <w:p>
      <w:pPr>
        <w:spacing w:after="40"/>
      </w:pPr>
      <w:r>
        <w:rPr>
          <w:color w:val="333333"/>
          <w:sz w:val="26"/>
          <w:szCs w:val="26"/>
        </w:rPr>
        <w:t xml:space="preserve">Shopware-Ökosystem als Channel für GENERIO 3D-Modelle</w:t>
      </w:r>
    </w:p>
    <w:p>
      <w:pPr>
        <w:spacing w:after="240"/>
      </w:pPr>
      <w:r>
        <w:rPr>
          <w:i/>
          <w:iCs/>
          <w:color w:val="666666"/>
          <w:sz w:val="18"/>
          <w:szCs w:val="18"/>
        </w:rPr>
        <w:t xml:space="preserve">Stand: 29.05.2026 · Gedankenexperiment mit verifizierten Quellen</w:t>
      </w:r>
    </w:p>
    <w:p>
      <w:pPr>
        <w:pBdr>
          <w:bottom w:val="single" w:color="1F4E79" w:sz="6" w:space="1"/>
        </w:pBdr>
        <w:spacing w:after="200"/>
      </w:pPr>
    </w:p>
    <w:p>
      <w:pPr>
        <w:spacing w:after="100" w:before="0"/>
      </w:pPr>
      <w:r>
        <w:rPr>
          <w:b/>
          <w:bCs/>
          <w:color w:val="2E7D32"/>
          <w:sz w:val="24"/>
          <w:szCs w:val="24"/>
        </w:rPr>
        <w:t xml:space="preserve">Kernaussage in einem Satz</w:t>
      </w:r>
    </w:p>
    <w:p>
      <w:pPr>
        <w:spacing w:after="200" w:before="0"/>
      </w:pPr>
      <w:r>
        <w:rPr>
          <w:sz w:val="22"/>
          <w:szCs w:val="22"/>
        </w:rPr>
        <w:t xml:space="preserve">Home &amp; Garden ist mit 4.844 Stores die mit Abstand größte Kategorie bei Shopware — genau GENERIOs Kernfeld. Der Conversion-Value von 3D/AR ist über zahllose Studien hart belegt. Die größte Markthürde ist nicht Nachfrage, sondern dass rund die Hälfte der Unternehmen sich technisch noch nicht bereit fühlt — und genau das löst die GENERIO×Shopware-Integration.</w:t>
      </w:r>
    </w:p>
    <w:p>
      <w:pPr>
        <w:pStyle w:val="Heading1"/>
      </w:pPr>
      <w:r>
        <w:t xml:space="preserve">1. Harte Fakten: Der Shopware-Markt</w:t>
      </w:r>
    </w:p>
    <w:p>
      <w:pPr>
        <w:spacing w:after="120" w:before="0"/>
      </w:pPr>
      <w:r>
        <w:rPr>
          <w:b/>
          <w:bCs/>
        </w:rPr>
        <w:t xml:space="preserve">29.865 live Stores</w:t>
      </w:r>
      <w:r>
        <w:t xml:space="preserve"> laufen aktuell auf Shopware (Stand 22.05.2026). Davon rund </w:t>
      </w:r>
      <w:r>
        <w:rPr>
          <w:b/>
          <w:bCs/>
        </w:rPr>
        <w:t xml:space="preserve">75 % im DACH-Raum</w:t>
      </w:r>
      <w:r>
        <w:t xml:space="preserve"> (Deutschland 67,1 % / 20.027 Stores, Schweiz 4,3 %, Österreich 3,9 %) — exakt euer Zielmarkt.</w:t>
      </w: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Quelle: Store Leads, „The State of Shopware in 2026", storeleads.app/reports/shopware, abgerufen 29.05.2026</w:t>
      </w:r>
    </w:p>
    <w:p>
      <w:pPr>
        <w:pStyle w:val="Heading2"/>
      </w:pPr>
      <w:r>
        <w:t xml:space="preserve">Kategorie-Verteilung (echte Store-Zahlen)</w:t>
      </w:r>
    </w:p>
    <w:p>
      <w:pPr>
        <w:spacing w:after="100" w:before="0"/>
      </w:pPr>
      <w:r>
        <w:rPr>
          <w:i/>
          <w:iCs/>
          <w:color w:val="666666"/>
          <w:sz w:val="18"/>
          <w:szCs w:val="18"/>
        </w:rPr>
        <w:t xml:space="preserve">Hinweis: Ein Store kann mehreren Kategorien zugeordnet sein, daher summieren sich die Anteile über 100 %.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500"/>
        <w:gridCol w:w="1500"/>
        <w:gridCol w:w="2960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Kategorie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Stores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Anteil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Relevanz für GENERIO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Home &amp; Garden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4.844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16,2 %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KERN — Möbel, Garten, Pflanzen, Deko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Apparel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2.716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9,1 %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Schwierig (Maße/Stoff)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Food &amp; Drink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2.466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8,3 %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Kaum 3D-relevant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Business &amp; Industrial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1.936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6,5 %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Teilweise relevant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Sports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1.270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4,3 %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Geräte / Equipment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Autos &amp; Vehicles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1.208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4,0 %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Teile / Zubehör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Beauty &amp; Fitness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973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3,3 %</w:t>
            </w:r>
          </w:p>
        </w:tc>
        <w:tc>
          <w:tcPr>
            <w:tcW w:type="dxa" w:w="2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Geräte / Flacons</w:t>
            </w:r>
          </w:p>
        </w:tc>
      </w:tr>
    </w:tbl>
    <w:p>
      <w:pPr>
        <w:spacing w:after="80" w:before="0"/>
      </w:pP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Quelle: Store Leads, Shopware Category Breakdown, storeleads.app/reports/shopware, Mai 2026</w:t>
      </w:r>
    </w:p>
    <w:p>
      <w:pPr>
        <w:pStyle w:val="Heading1"/>
      </w:pPr>
      <w:r>
        <w:t xml:space="preserve">2. Der Value ist hart belegt: 3D/AR-Wirkung</w:t>
      </w:r>
    </w:p>
    <w:p>
      <w:pPr>
        <w:spacing w:after="120" w:before="0"/>
      </w:pPr>
      <w:r>
        <w:rPr>
          <w:sz w:val="22"/>
          <w:szCs w:val="22"/>
        </w:rPr>
        <w:t xml:space="preserve">Über viele unabhängige Quellen hinweg sind die Effekte bemerkenswert konsistent. Das ist das zentrale Argument, mit dem Händler im Freemium überzeugt werden — und das im PoC als KPI messbar ist: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Conversion: +40 % gegenüber 2D-Bildern (Forbes); +27 % mehr Bestellungen bei 3D-Interaktion (Shopify-Research).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Retouren: −40 % (Shopify); −25 % im Möbel-Pilot von Macy's, dort zugleich +60 % größerer Warenkorb.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Kaufwahrscheinlichkeit: AR-Nutzer kaufen bei Wayfair 11× wahrscheinlicher; bei großen Möbelstücken bis zu 73 % Retouren-Reduktion (Sofas/Sitzmöbel).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Marktwachstum: 3D-Visualisierung im E-Commerce ~5 Mrd. USD (2025) → ~25 Mrd. USD (2033), CAGR 25 %.</w:t>
      </w:r>
    </w:p>
    <w:p>
      <w:pPr>
        <w:spacing w:after="40" w:before="0"/>
      </w:pP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Forbes / Shopify-Research, zit. n. ienhance.co/insights (2024) · Macy's-Pilot zit. n. BrandXR „2025 AR in Retail Research Report"</w:t>
      </w: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Wayfair / IKEA-Daten zit. n. 1center.co (2025) · Cylindo.com „AR for Furniture Ecommerce"</w:t>
      </w: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Marktgröße: marketreportanalytics.com „3D Visualization for eCommerce 2025–2033"</w:t>
      </w:r>
    </w:p>
    <w:p>
      <w:pPr>
        <w:pStyle w:val="Heading1"/>
      </w:pPr>
      <w:r>
        <w:t xml:space="preserve">3. Die Markthürde = GENERIOs Chance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b/>
                <w:bCs/>
                <w:color w:val="B45F06"/>
                <w:sz w:val="22"/>
                <w:szCs w:val="22"/>
              </w:rPr>
              <w:t xml:space="preserve">Schlüssel-Erkenntnis (Harvard Business Review):</w:t>
            </w:r>
          </w:p>
          <w:p>
            <w:pPr>
              <w:spacing w:after="80" w:before="0"/>
            </w:pPr>
            <w:r>
              <w:rPr>
                <w:sz w:val="22"/>
                <w:szCs w:val="22"/>
              </w:rPr>
              <w:t xml:space="preserve">Rund 50 % der Unternehmen sagen, sie seien noch nicht bereit, 3D/AR zu integrieren — die häufigsten Gründe: fehlendes Verständnis der Tools und fehlende Assets im richtigen Format.</w:t>
            </w:r>
          </w:p>
          <w:p>
            <w:pPr>
              <w:spacing w:after="0" w:before="0"/>
            </w:pPr>
            <w:r>
              <w:rPr>
                <w:b/>
                <w:bCs/>
                <w:color w:val="B45F06"/>
                <w:sz w:val="22"/>
                <w:szCs w:val="22"/>
              </w:rPr>
              <w:t xml:space="preserve">→ Genau das löst GENERIO×Shopware: GENERIO liefert die Assets (3D-Modelle), Shopware die nahtlose Integration (Wizard, Bulk, White Label). Die Nachfrage ist da — es fehlt nur der einfache Weg dorthin.</w:t>
            </w:r>
          </w:p>
        </w:tc>
      </w:tr>
    </w:tbl>
    <w:p>
      <w:pPr>
        <w:spacing w:after="60" w:before="0"/>
      </w:pP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Quelle: Harvard Business Review, zit. n. ienhance.co/insights „How to increase ROI with 3D and AR"</w:t>
      </w:r>
    </w:p>
    <w:p>
      <w:pPr>
        <w:spacing w:after="120" w:before="0"/>
      </w:pPr>
      <w:r>
        <w:rPr>
          <w:b/>
          <w:bCs/>
        </w:rPr>
        <w:t xml:space="preserve">Zusätzlicher Rückenwind: </w:t>
      </w:r>
      <w:r>
        <w:t xml:space="preserve">Shopware bewirbt Möbel-E-Commerce mit 3D/AR aktiv als eigene Vertikale („Shopware for Furniture Retailers"). Die Plattform-Strategie und GENERIOs Angebot zeigen in dieselbe Richtung.</w:t>
      </w: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Quelle: shopware.com/en/solutions/furniture/ und shopware.com/en/news/furniture-ecommerce/</w:t>
      </w:r>
    </w:p>
    <w:p>
      <w:pPr>
        <w:pStyle w:val="Heading1"/>
      </w:pPr>
      <w:r>
        <w:t xml:space="preserve">4. Funnel: Von 29.865 Stores zu zahlenden Kunden</w:t>
      </w:r>
    </w:p>
    <w:p>
      <w:pPr>
        <w:spacing w:after="120" w:before="0"/>
      </w:pPr>
      <w:r>
        <w:rPr>
          <w:sz w:val="22"/>
          <w:szCs w:val="22"/>
        </w:rPr>
        <w:t xml:space="preserve">Stufenweise Eingrenzung. Drei Szenarien (konservativ / mittel / optimistisch). Die Conversion-Annahmen basieren auf B2B-SaaS-Benchmarks für sales-assisted Freemium-Modelle.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800"/>
        <w:gridCol w:w="1800"/>
        <w:gridCol w:w="1800"/>
      </w:tblGrid>
      <w:tr>
        <w:trPr>
          <w:tblHeader/>
        </w:trP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Funnel-Stufe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4530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Konservativ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F6B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Mittel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Optimistisch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Adressierbare Kategorien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4.844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~5.900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~7.000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davon 3D/AR-Bedarf (15–25 %)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~727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~1.180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~1.750</w:t>
            </w:r>
          </w:p>
        </w:tc>
      </w:tr>
      <w:tr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Zahlend (Freemium→Paid 5–15 %)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~36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~120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~263</w:t>
            </w:r>
          </w:p>
        </w:tc>
      </w:tr>
    </w:tbl>
    <w:p>
      <w:pPr>
        <w:spacing w:after="100" w:before="0"/>
      </w:pPr>
    </w:p>
    <w:p>
      <w:pPr>
        <w:pStyle w:val="Heading2"/>
      </w:pPr>
      <w:r>
        <w:t xml:space="preserve">Annahmen &amp; ihre Grundlage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Adressierbar: Home &amp; Garden als Kern (konservativ); + Teile von Sports/Autos/Beauty (optimistisch).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3D/AR-Bedarf 15–25 %: früher DACH-Markt; HBR nennt ~50 % „nicht bereit", Gartner sieht breite AR-Adoption bis 2025 — Korridor dazwischen.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Freemium→Paid 5–15 %: sales-assisted Freemium liegt im Schnitt bei 5–7 %, Top-Performer 10–15 %. Reines self-serve Freemium nur 2–5 %. GENERIO ist sales-assisted und höherwertig, daher oberes Band plausibel.</w:t>
      </w:r>
    </w:p>
    <w:p>
      <w:pPr>
        <w:spacing w:after="40" w:before="0"/>
      </w:pPr>
    </w:p>
    <w:p>
      <w:pPr>
        <w:spacing w:after="60"/>
      </w:pPr>
      <w:r>
        <w:rPr>
          <w:i/>
          <w:iCs/>
          <w:color w:val="666666"/>
          <w:sz w:val="17"/>
          <w:szCs w:val="17"/>
        </w:rPr>
        <w:t xml:space="preserve">› Conversion-Benchmarks: getmonetizely.com (OpenView 2022), crazyegg.com (2025), productled.com PLG-Benchmarks, ChartMogul SaaS Conversion Report 2026</w:t>
      </w:r>
    </w:p>
    <w:p>
      <w:pPr>
        <w:pStyle w:val="Heading1"/>
      </w:pPr>
      <w:r>
        <w:t xml:space="preserve">5. Umsatz-Einordnung (Platzhalter-Preis)</w:t>
      </w:r>
    </w:p>
    <w:p>
      <w:pPr>
        <w:spacing w:after="120" w:before="0"/>
      </w:pPr>
      <w:r>
        <w:rPr>
          <w:sz w:val="22"/>
          <w:szCs w:val="22"/>
        </w:rPr>
        <w:t xml:space="preserve">Rechnung mit mittlerem Szenario (~120 zahlende Shops), 15 Modellen/Shop/Monat, 5 € pro Modell (Platzhalter — noch nicht final):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Laufend: ~120 × 15 × 5 € = ~9.000 €/Monat (~108.000 €/Jahr).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Konservativ (~36 Shops): ~2.700 €/Monat. Optimistisch (~263 Shops): ~19.700 €/Monat.</w:t>
      </w:r>
    </w:p>
    <w:p>
      <w:pPr>
        <w:spacing w:after="120" w:before="0"/>
      </w:pPr>
      <w:r>
        <w:rPr>
          <w:b/>
          <w:bCs/>
        </w:rPr>
        <w:t xml:space="preserve">Entscheidend: </w:t>
      </w:r>
      <w:r>
        <w:t xml:space="preserve">Der eigentliche Volumen-Treiber ist nicht der laufende Betrieb, sondern der einmalige Initial-Batch — wenn ein Shop seinen Katalog digitalisiert, fallen einmalig 50–200+ Modelle an. Das ist beim Pricing (Flat + Overage) und bei der Kapazitätsplanung zu berücksichtigen.</w:t>
      </w:r>
    </w:p>
    <w:p>
      <w:pPr>
        <w:pStyle w:val="Heading1"/>
      </w:pPr>
      <w:r>
        <w:t xml:space="preserve">6. Methodischer Vorbehalt</w:t>
      </w:r>
    </w:p>
    <w:p>
      <w:pPr>
        <w:spacing w:after="120" w:before="0"/>
      </w:pPr>
      <w:r>
        <w:rPr>
          <w:sz w:val="22"/>
          <w:szCs w:val="22"/>
        </w:rPr>
        <w:t xml:space="preserve">Klar zu trennen, was Faktum und was Annahme ist: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HART belegt: Store-Counts (Storeleads), Kategorie-Verteilung, Conversion-/Retouren-Uplift durch 3D/AR, Freemium-Conversion-Benchmarks.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ANNAHME (im PoC zu validieren): die 15–25 % „3D-Bedarf" und die konkrete Freemium-Conversion für genau dieses Angebot. Beides ist fundiert geschätzt, aber nicht Shopware-spezifisch gemessen.</w:t>
      </w:r>
    </w:p>
    <w:p>
      <w:pPr>
        <w:spacing w:after="120" w:before="0"/>
      </w:pPr>
      <w:r>
        <w:rPr>
          <w:b/>
          <w:bCs/>
          <w:color w:val="2E7D32"/>
        </w:rPr>
        <w:t xml:space="preserve">Genau deshalb ist der PoC so wertvoll: er ersetzt diese zwei Annahmen durch echte Zahlen aus dem Shopware-Kontext.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16"/>
        <w:szCs w:val="16"/>
      </w:rPr>
      <w:t xml:space="preserve">GENERIO · Shopware Marktanalyse · </w:t>
    </w:r>
    <w:r>
      <w:rPr>
        <w:color w:val="666666"/>
        <w:sz w:val="16"/>
        <w:szCs w:val="16"/>
      </w:rPr>
      <w:t xml:space="preserve">Seite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  <w:lvl w:ilvl="1" w15:tentative="1">
      <w:start w:val="1"/>
      <w:numFmt w:val="bullet"/>
      <w:lvlText w:val="–"/>
      <w:lvlJc w:val="left"/>
      <w:pPr>
        <w:ind w:left="10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2026-05-29T12:40:34.799Z</dcterms:created>
  <dcterms:modified xsi:type="dcterms:W3CDTF">2026-05-29T12:40:34.799Z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