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jc w:val="center"/>
      </w:pPr>
      <w:r>
        <w:rPr>
          <w:rFonts w:ascii="Arial" w:cs="Arial" w:eastAsia="Arial" w:hAnsi="Arial"/>
          <w:b/>
          <w:bCs/>
          <w:color w:val="1F3864"/>
          <w:sz w:val="52"/>
          <w:szCs w:val="52"/>
        </w:rPr>
        <w:t xml:space="preserve">FALLAKTE FÜR DEN ANWALT</w:t>
      </w:r>
    </w:p>
    <w:p>
      <w:pPr>
        <w:spacing w:after="100" w:before="100"/>
        <w:jc w:val="center"/>
      </w:pPr>
      <w:r>
        <w:rPr>
          <w:rFonts w:ascii="Arial" w:cs="Arial" w:eastAsia="Arial" w:hAnsi="Arial"/>
          <w:color w:val="2E75B6"/>
          <w:sz w:val="28"/>
          <w:szCs w:val="28"/>
        </w:rPr>
        <w:t xml:space="preserve">Dr. Jonas Auda  ./. Hausverwaltung Lorger (Melanie Lorger)</w:t>
      </w:r>
    </w:p>
    <w:p>
      <w:pPr>
        <w:spacing w:after="400" w:before="60"/>
        <w:jc w:val="center"/>
      </w:pPr>
      <w:r>
        <w:rPr>
          <w:rFonts w:ascii="Arial" w:cs="Arial" w:eastAsia="Arial" w:hAnsi="Arial"/>
          <w:color w:val="555555"/>
          <w:sz w:val="22"/>
          <w:szCs w:val="22"/>
        </w:rPr>
        <w:t xml:space="preserve">Rückforderung Mietkaution · 2.700 € · Weserstraße 75, 45136 Essen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F3864" w:val="clear"/>
            <w:tcMar>
              <w:top w:type="dxa" w:w="120"/>
              <w:left w:type="dxa" w:w="200"/>
              <w:bottom w:type="dxa" w:w="120"/>
              <w:right w:type="dxa" w:w="120"/>
            </w:tcMar>
          </w:tcPr>
          <w:p>
            <w:r>
              <w:rPr>
                <w:rFonts w:ascii="Arial" w:cs="Arial" w:eastAsia="Arial" w:hAnsi="Arial"/>
                <w:b/>
                <w:bCs/>
                <w:color w:val="FFFFFF"/>
                <w:sz w:val="22"/>
                <w:szCs w:val="22"/>
              </w:rPr>
              <w:t xml:space="preserve">Mandant</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sz w:val="22"/>
                <w:szCs w:val="22"/>
              </w:rPr>
              <w:t xml:space="preserve">Dr. Jonas Auda, Tannhäuserstraße 11/1, 72768 Reutlingen</w:t>
            </w:r>
          </w:p>
        </w:tc>
      </w:tr>
      <w:tr>
        <w:tc>
          <w:tcPr>
            <w:tcW w:type="dxa" w:w="3000"/>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120"/>
            </w:tcMar>
          </w:tcPr>
          <w:p>
            <w:r>
              <w:rPr>
                <w:rFonts w:ascii="Arial" w:cs="Arial" w:eastAsia="Arial" w:hAnsi="Arial"/>
                <w:b/>
                <w:bCs/>
                <w:color w:val="1F3864"/>
                <w:sz w:val="22"/>
                <w:szCs w:val="22"/>
              </w:rPr>
              <w:t xml:space="preserve">Gegner</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sz w:val="22"/>
                <w:szCs w:val="22"/>
              </w:rPr>
              <w:t xml:space="preserve">HVW Lorger / Melanie Lorger, Girardetstr. 6, 45131 Essen</w:t>
            </w:r>
          </w:p>
        </w:tc>
      </w:tr>
      <w:tr>
        <w:tc>
          <w:tcPr>
            <w:tcW w:type="dxa" w:w="3000"/>
            <w:tcBorders>
              <w:top w:val="single" w:color="CCCCCC" w:sz="1"/>
              <w:left w:val="single" w:color="CCCCCC" w:sz="1"/>
              <w:bottom w:val="single" w:color="CCCCCC" w:sz="1"/>
              <w:right w:val="single" w:color="CCCCCC" w:sz="1"/>
            </w:tcBorders>
            <w:shd w:fill="1F3864" w:val="clear"/>
            <w:tcMar>
              <w:top w:type="dxa" w:w="120"/>
              <w:left w:type="dxa" w:w="200"/>
              <w:bottom w:type="dxa" w:w="120"/>
              <w:right w:type="dxa" w:w="120"/>
            </w:tcMar>
          </w:tcPr>
          <w:p>
            <w:r>
              <w:rPr>
                <w:rFonts w:ascii="Arial" w:cs="Arial" w:eastAsia="Arial" w:hAnsi="Arial"/>
                <w:b/>
                <w:bCs/>
                <w:color w:val="FFFFFF"/>
                <w:sz w:val="22"/>
                <w:szCs w:val="22"/>
              </w:rPr>
              <w:t xml:space="preserve">Streitgegenstand</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b/>
                <w:bCs/>
                <w:color w:val="C00000"/>
                <w:sz w:val="22"/>
                <w:szCs w:val="22"/>
              </w:rPr>
              <w:t xml:space="preserve">Mietkaution 2.700 € — rechtswidrig einbehalten</w:t>
            </w:r>
          </w:p>
        </w:tc>
      </w:tr>
      <w:tr>
        <w:tc>
          <w:tcPr>
            <w:tcW w:type="dxa" w:w="3000"/>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120"/>
            </w:tcMar>
          </w:tcPr>
          <w:p>
            <w:r>
              <w:rPr>
                <w:rFonts w:ascii="Arial" w:cs="Arial" w:eastAsia="Arial" w:hAnsi="Arial"/>
                <w:b/>
                <w:bCs/>
                <w:color w:val="1F3864"/>
                <w:sz w:val="22"/>
                <w:szCs w:val="22"/>
              </w:rPr>
              <w:t xml:space="preserve">Kautionskonto</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sz w:val="22"/>
                <w:szCs w:val="22"/>
              </w:rPr>
              <w:t xml:space="preserve">Nr. 3002854143 (Inh.: Jonas Auda + Sara Pospischil)</w:t>
            </w:r>
          </w:p>
        </w:tc>
      </w:tr>
      <w:tr>
        <w:tc>
          <w:tcPr>
            <w:tcW w:type="dxa" w:w="3000"/>
            <w:tcBorders>
              <w:top w:val="single" w:color="CCCCCC" w:sz="1"/>
              <w:left w:val="single" w:color="CCCCCC" w:sz="1"/>
              <w:bottom w:val="single" w:color="CCCCCC" w:sz="1"/>
              <w:right w:val="single" w:color="CCCCCC" w:sz="1"/>
            </w:tcBorders>
            <w:shd w:fill="1F3864" w:val="clear"/>
            <w:tcMar>
              <w:top w:type="dxa" w:w="120"/>
              <w:left w:type="dxa" w:w="200"/>
              <w:bottom w:type="dxa" w:w="120"/>
              <w:right w:type="dxa" w:w="120"/>
            </w:tcMar>
          </w:tcPr>
          <w:p>
            <w:r>
              <w:rPr>
                <w:rFonts w:ascii="Arial" w:cs="Arial" w:eastAsia="Arial" w:hAnsi="Arial"/>
                <w:b/>
                <w:bCs/>
                <w:color w:val="FFFFFF"/>
                <w:sz w:val="22"/>
                <w:szCs w:val="22"/>
              </w:rPr>
              <w:t xml:space="preserve">Mietobjekt</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sz w:val="22"/>
                <w:szCs w:val="22"/>
              </w:rPr>
              <w:t xml:space="preserve">Weserstraße 75, 1.OGL, 45136 Essen (Eigentümer: Erbengemeinschaft Krude)</w:t>
            </w:r>
          </w:p>
        </w:tc>
      </w:tr>
      <w:tr>
        <w:tc>
          <w:tcPr>
            <w:tcW w:type="dxa" w:w="3000"/>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120"/>
            </w:tcMar>
          </w:tcPr>
          <w:p>
            <w:r>
              <w:rPr>
                <w:rFonts w:ascii="Arial" w:cs="Arial" w:eastAsia="Arial" w:hAnsi="Arial"/>
                <w:b/>
                <w:bCs/>
                <w:color w:val="1F3864"/>
                <w:sz w:val="22"/>
                <w:szCs w:val="22"/>
              </w:rPr>
              <w:t xml:space="preserve">Mietzeit</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sz w:val="22"/>
                <w:szCs w:val="22"/>
              </w:rPr>
              <w:t xml:space="preserve">01.05.2021 – 31.03.2024 (2 Jahre 11 Monate)</w:t>
            </w:r>
          </w:p>
        </w:tc>
      </w:tr>
      <w:tr>
        <w:tc>
          <w:tcPr>
            <w:tcW w:type="dxa" w:w="3000"/>
            <w:tcBorders>
              <w:top w:val="single" w:color="CCCCCC" w:sz="1"/>
              <w:left w:val="single" w:color="CCCCCC" w:sz="1"/>
              <w:bottom w:val="single" w:color="CCCCCC" w:sz="1"/>
              <w:right w:val="single" w:color="CCCCCC" w:sz="1"/>
            </w:tcBorders>
            <w:shd w:fill="1F3864" w:val="clear"/>
            <w:tcMar>
              <w:top w:type="dxa" w:w="120"/>
              <w:left w:type="dxa" w:w="200"/>
              <w:bottom w:type="dxa" w:w="120"/>
              <w:right w:type="dxa" w:w="120"/>
            </w:tcMar>
          </w:tcPr>
          <w:p>
            <w:r>
              <w:rPr>
                <w:rFonts w:ascii="Arial" w:cs="Arial" w:eastAsia="Arial" w:hAnsi="Arial"/>
                <w:b/>
                <w:bCs/>
                <w:color w:val="FFFFFF"/>
                <w:sz w:val="22"/>
                <w:szCs w:val="22"/>
              </w:rPr>
              <w:t xml:space="preserve">Verfahrensstand</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b/>
                <w:bCs/>
                <w:color w:val="C00000"/>
                <w:sz w:val="22"/>
                <w:szCs w:val="22"/>
              </w:rPr>
              <w:t xml:space="preserve">Mahnbescheid gestellt → Lorger hat widersprochen → Klage nötig</w:t>
            </w:r>
          </w:p>
        </w:tc>
      </w:tr>
      <w:tr>
        <w:tc>
          <w:tcPr>
            <w:tcW w:type="dxa" w:w="3000"/>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120"/>
            </w:tcMar>
          </w:tcPr>
          <w:p>
            <w:r>
              <w:rPr>
                <w:rFonts w:ascii="Arial" w:cs="Arial" w:eastAsia="Arial" w:hAnsi="Arial"/>
                <w:b/>
                <w:bCs/>
                <w:color w:val="1F3864"/>
                <w:sz w:val="22"/>
                <w:szCs w:val="22"/>
              </w:rPr>
              <w:t xml:space="preserve">Dokument erstellt</w:t>
            </w:r>
          </w:p>
        </w:tc>
        <w:tc>
          <w:tcPr>
            <w:tcW w:type="dxa" w:w="6360"/>
            <w:tcBorders>
              <w:top w:val="single" w:color="CCCCCC" w:sz="1"/>
              <w:left w:val="single" w:color="CCCCCC" w:sz="1"/>
              <w:bottom w:val="single" w:color="CCCCCC" w:sz="1"/>
              <w:right w:val="single" w:color="CCCCCC" w:sz="1"/>
            </w:tcBorders>
            <w:tcMar>
              <w:top w:type="dxa" w:w="120"/>
              <w:left w:type="dxa" w:w="200"/>
              <w:bottom w:type="dxa" w:w="120"/>
              <w:right w:type="dxa" w:w="120"/>
            </w:tcMar>
          </w:tcPr>
          <w:p>
            <w:r>
              <w:rPr>
                <w:rFonts w:ascii="Arial" w:cs="Arial" w:eastAsia="Arial" w:hAnsi="Arial"/>
                <w:sz w:val="22"/>
                <w:szCs w:val="22"/>
              </w:rPr>
              <w:t xml:space="preserve">10. Mai 2026</w:t>
            </w:r>
          </w:p>
        </w:tc>
      </w:tr>
    </w:tbl>
    <w:p>
      <w:pPr>
        <w:spacing w:after="60" w:before="60"/>
      </w:pPr>
      <w:r>
        <w:t xml:space="preserve"/>
      </w:r>
    </w:p>
    <w:p>
      <w:pPr>
        <w:spacing w:after="60" w:before="200"/>
        <w:jc w:val="center"/>
      </w:pPr>
      <w:r>
        <w:rPr>
          <w:rFonts w:ascii="Arial" w:cs="Arial" w:eastAsia="Arial" w:hAnsi="Arial"/>
          <w:b/>
          <w:bCs/>
          <w:color w:val="1F3864"/>
          <w:sz w:val="20"/>
          <w:szCs w:val="20"/>
        </w:rPr>
        <w:t xml:space="preserve">Zeugen:</w:t>
      </w:r>
    </w:p>
    <w:p>
      <w:pPr>
        <w:spacing w:after="400" w:before="60"/>
        <w:jc w:val="center"/>
      </w:pPr>
      <w:r>
        <w:rPr>
          <w:rFonts w:ascii="Arial" w:cs="Arial" w:eastAsia="Arial" w:hAnsi="Arial"/>
          <w:color w:val="555555"/>
          <w:sz w:val="20"/>
          <w:szCs w:val="20"/>
        </w:rPr>
        <w:t xml:space="preserve">Sara Pospischil  |  Uwe Grünefeld  |  Giulia  |  Markus</w:t>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1. Sachverhalt und Ausgangslage</w:t>
      </w:r>
    </w:p>
    <w:p>
      <w:pPr>
        <w:spacing w:after="80" w:before="80"/>
      </w:pPr>
      <w:r>
        <w:rPr>
          <w:rFonts w:ascii="Arial" w:cs="Arial" w:eastAsia="Arial" w:hAnsi="Arial"/>
          <w:sz w:val="22"/>
          <w:szCs w:val="22"/>
        </w:rPr>
        <w:t xml:space="preserve">Dr. Jonas Auda mietete gemeinsam mit Sara Pospischil ab dem 01. Mai 2021 die Wohnung im ersten Obergeschoss links (1.OGL) des Objekts Weserstraße 75, 45136 Essen. Die Hausverwaltung wurde durch Melanie Lorger (HVW Lorger) geführt. Eigentümer des Objekts ist die Erbengemeinschaft Krude.</w:t>
      </w:r>
    </w:p>
    <w:p>
      <w:pPr>
        <w:spacing w:after="60" w:before="60"/>
      </w:pPr>
      <w:r>
        <w:t xml:space="preserve"/>
      </w:r>
    </w:p>
    <w:p>
      <w:pPr>
        <w:spacing w:after="80" w:before="80"/>
      </w:pPr>
      <w:r>
        <w:rPr>
          <w:rFonts w:ascii="Arial" w:cs="Arial" w:eastAsia="Arial" w:hAnsi="Arial"/>
          <w:sz w:val="22"/>
          <w:szCs w:val="22"/>
        </w:rPr>
        <w:t xml:space="preserve">Die Mietkaution in Höhe von 2.700 € wurde ordnungsgemäß auf ein Sperrkonto (Nr. 3002854143) eingezahlt, lautend auf beide Mieter. Die Wohnung wurde am 27. März 2024 ordnungsgemäß übergeben.</w:t>
      </w:r>
    </w:p>
    <w:p>
      <w:pPr>
        <w:spacing w:after="60" w:before="60"/>
      </w:pPr>
      <w:r>
        <w:t xml:space="preserve"/>
      </w:r>
    </w:p>
    <w:p>
      <w:pPr>
        <w:spacing w:after="80" w:before="80"/>
      </w:pPr>
      <w:r>
        <w:rPr>
          <w:rFonts w:ascii="Arial" w:cs="Arial" w:eastAsia="Arial" w:hAnsi="Arial"/>
          <w:sz w:val="22"/>
          <w:szCs w:val="22"/>
        </w:rPr>
        <w:t xml:space="preserve">Seit der Übergabe hält Hausverwaltung Lorger die Kaution rechtswidrig zurück. Trotz wiederholter Aufforderungen, Mahnungen und schließlich einem per Einschreiben gesendeten Ultimatum (07.04.2025) sowie dem gestellten Mahnbescheid — dem Lorger widersprochen hat — wurde die Kaution bis heute nicht freigegeben.</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1.1 Vertragsparteien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Rolle</w:t>
            </w:r>
          </w:p>
        </w:tc>
        <w:tc>
          <w:tcPr>
            <w:tcW w:type="dxa" w:w="3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Person / Institution</w:t>
            </w:r>
          </w:p>
        </w:tc>
        <w:tc>
          <w:tcPr>
            <w:tcW w:type="dxa" w:w="3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Kontakt / Adresse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Mieter (Kläger)</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 Jonas Auda + Sara Pospischil</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jonas.auda@gmail.com</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Hausverwaltung (Beklagte)</w:t>
            </w:r>
          </w:p>
        </w:tc>
        <w:tc>
          <w:tcPr>
            <w:tcW w:type="dxa" w:w="3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HVW Lorger / Melanie Lorger</w:t>
            </w:r>
          </w:p>
        </w:tc>
        <w:tc>
          <w:tcPr>
            <w:tcW w:type="dxa" w:w="3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hausverwaltung-lorger@gmx.de · Girardetstr. 6, 45131 Essen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Eigentümer</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Erbengemeinschaft Krude</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Weserstraße 75, 45136 Essen</w:t>
            </w:r>
          </w:p>
        </w:tc>
      </w:tr>
    </w:tbl>
    <w:p>
      <w:pPr>
        <w:spacing w:after="60" w:before="60"/>
      </w:pPr>
      <w:r>
        <w:t xml:space="preserve"/>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2. Vollständige Chronologie (2021–2026)</w:t>
      </w:r>
    </w:p>
    <w:p>
      <w:pPr>
        <w:spacing w:after="80" w:before="80"/>
      </w:pPr>
      <w:r>
        <w:rPr>
          <w:rFonts w:ascii="Arial" w:cs="Arial" w:eastAsia="Arial" w:hAnsi="Arial"/>
          <w:sz w:val="22"/>
          <w:szCs w:val="22"/>
        </w:rPr>
        <w:t xml:space="preserve">Die folgenden Ereignisse sind durch E-Mails (Gmail), Dokumente (Google Drive) und Screenshots vollständig belegt. Hervorgehobene Einträge sind rechtlich besonders relevant.</w:t>
      </w:r>
    </w:p>
    <w:p>
      <w:pPr>
        <w:spacing w:after="60" w:before="60"/>
      </w:pPr>
      <w:r>
        <w:t xml:space="preserve"/>
      </w:r>
    </w:p>
    <w:p>
      <w:pPr>
        <w:spacing w:after="120" w:before="60"/>
      </w:pPr>
      <w:r>
        <w:rPr>
          <w:rFonts w:ascii="Arial" w:cs="Arial" w:eastAsia="Arial" w:hAnsi="Arial"/>
          <w:b/>
          <w:bCs/>
          <w:sz w:val="20"/>
          <w:szCs w:val="20"/>
        </w:rPr>
        <w:t xml:space="preserve">Legende: </w:t>
      </w:r>
      <w:r>
        <w:rPr>
          <w:rFonts w:ascii="Arial" w:cs="Arial" w:eastAsia="Arial" w:hAnsi="Arial"/>
          <w:b/>
          <w:bCs/>
          <w:color w:val="FFC000"/>
          <w:sz w:val="20"/>
          <w:szCs w:val="20"/>
        </w:rPr>
        <w:t xml:space="preserve">■ </w:t>
      </w:r>
      <w:r>
        <w:rPr>
          <w:rFonts w:ascii="Arial" w:cs="Arial" w:eastAsia="Arial" w:hAnsi="Arial"/>
          <w:sz w:val="20"/>
          <w:szCs w:val="20"/>
        </w:rPr>
        <w:t xml:space="preserve">Gelb = rechtlich kritischer Eintrag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6560"/>
      </w:tblGrid>
      <w:tr>
        <w:trPr>
          <w:tblHeader/>
        </w:trPr>
        <w:tc>
          <w:tcPr>
            <w:tcW w:type="dxa" w:w="1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Datum</w:t>
            </w:r>
          </w:p>
        </w:tc>
        <w:tc>
          <w:tcPr>
            <w:tcW w:type="dxa" w:w="1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Kategorie</w:t>
            </w:r>
          </w:p>
        </w:tc>
        <w:tc>
          <w:tcPr>
            <w:tcW w:type="dxa" w:w="6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Ereignis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Apr. 2021</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Jonas Auda sendet Bewerbungsunterlagen (Selbstauskunft, Personalausweise) an Lorger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EINZUG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27.04.2021</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Mietvertrag für Wohnung + Garage per E-Mail (kein Einschreiben)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EINZUG</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01.05.2021</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Einzug in Weserstraße 75, 1.OGL, 45136 Essen</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EINZUG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11.05.2021</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Wohnungsübergabeprotokoll (Einzug) und Wohnungsgeberbestätigung per 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EINZUG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31.12.2022</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Nebenkostenabrechnung 2021 per 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ABRECHNUNG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31.12.2023</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Nebenkostenabrechnung 2022 per E-Mail (kein Einschreiben)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ABRECHNUNG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09.01.2024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Auda antwortet auf NK-Abrechnung 2022: fordert Belegeinsicht — bis heute nicht gewährt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19.01.2024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Auda meldet defekte Heizung schriftlich per E-Mail — Lorger antwortet erst nach 7 Tagen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24.01.2024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Auda sendet erneute Mängelanzeige über Kontaktformular der HVW (mit Screenshot dokumentiert)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26.01.2024</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Lorger antwortet erstmals: 'bisher keine Probleme' — keine Behebungsmaßnahmen angekündigt</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29.01.2024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Auda fordert Vor-Ort-Termin, Mietminderung und Belegeinsicht Nebenkosten schriftlich</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01.02.2024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Vor-Ort-Termin mit Lorger — Heizungsmangel bleibt weiter unbehoben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13.02.2024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Kellerraumräumungsaufforderung an alle Bewohner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MÄNGEL</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27.03.2024</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Wohnungsübergabe (Auszug) — Schlüsselrückgabe und Übergabe der Wohnung</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ÜBERGABE</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30.03.2024</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Übergabeprotokoll per E-Mail — behauptet: 'Duschkabine beschädigt' (kein Einschreiben, ohne Beweis)</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ÜBERGABE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01.04.2024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Auda leitet Übergabeprotokoll an Zeuge Uwe Grünefeld weiter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ÜBERGABE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02.04.2024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Auda sendet schriftliche Stellungnahme zur Mängelliste — widerspricht den Behauptungen Lorgers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ÜBERGABE</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27.09.2024</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STICHTAG §548 BGB: 6-Monats-Frist seit Übergabe läuft ab — Lorgers Ansprüche VERJÄHRT</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KAUTION</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30.09.2024</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erstmals Kautionsabrechnung — 3 TAGE NACH FRISTABLAUF → nicht mehr rechtsgültig</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KAUTION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31.12.2024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Nebenkostenabrechnung 2023 per 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ABRECHNUNG</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07.04.2025</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Auda sendet finale Mahnung per Einschreiben: fordert Freigabe 2.700 €, setzt 2-Wochen-Frist, droht Anwalt</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MAHNUNG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09.05.2025</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Kautionsabrechnung erneut — weiterhin keine Freigabe der Kaution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KAUTION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31.12.2025</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Lorger sendet Nebenkostenabrechnung 2024 (anteilig Jan.–März 2024)</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ABRECHNUNG</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2025</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Auda stellt Mahnbescheid beim zuständigen Gericht</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GERICHT</w:t>
            </w:r>
          </w:p>
        </w:tc>
      </w:tr>
      <w:tr>
        <w:tc>
          <w:tcPr>
            <w:tcW w:type="dxa" w:w="16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2025/2026</w:t>
            </w:r>
          </w:p>
        </w:tc>
        <w:tc>
          <w:tcPr>
            <w:tcW w:type="dxa" w:w="1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color w:val="1F3864"/>
                <w:sz w:val="18"/>
                <w:szCs w:val="18"/>
              </w:rPr>
              <w:t xml:space="preserve">Lorger widerspricht dem Mahnbescheid → streitiges Verfahren erforderlich</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top"/>
          </w:tcPr>
          <w:p>
            <w:r>
              <w:rPr>
                <w:rFonts w:ascii="Arial" w:cs="Arial" w:eastAsia="Arial" w:hAnsi="Arial"/>
                <w:b/>
                <w:bCs/>
                <w:sz w:val="20"/>
                <w:szCs w:val="20"/>
              </w:rPr>
              <w:t xml:space="preserve">GERICHT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10.05.2026</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F3864"/>
                <w:sz w:val="18"/>
                <w:szCs w:val="18"/>
              </w:rPr>
              <w:t xml:space="preserve">Anwalt Timo wird kontaktiert zur Übernahme des Falls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sz w:val="20"/>
                <w:szCs w:val="20"/>
              </w:rPr>
              <w:t xml:space="preserve">GERICHT</w:t>
            </w:r>
          </w:p>
        </w:tc>
      </w:tr>
    </w:tbl>
    <w:p>
      <w:pPr>
        <w:spacing w:after="60" w:before="60"/>
      </w:pPr>
      <w:r>
        <w:t xml:space="preserve"/>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3. Rechtliche Argumente</w:t>
      </w:r>
    </w:p>
    <w:p>
      <w:pPr>
        <w:pStyle w:val="Heading2"/>
        <w:spacing w:after="120" w:before="300"/>
      </w:pPr>
      <w:r>
        <w:rPr>
          <w:rFonts w:ascii="Arial" w:cs="Arial" w:eastAsia="Arial" w:hAnsi="Arial"/>
          <w:b/>
          <w:bCs/>
          <w:color w:val="2E75B6"/>
          <w:sz w:val="28"/>
          <w:szCs w:val="28"/>
        </w:rPr>
        <w:t xml:space="preserve">3.1 Verjährung nach §548 BGB — Hauptargument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0000" w:sz="8"/>
              <w:left w:val="single" w:color="C00000" w:sz="8"/>
              <w:bottom w:val="single" w:color="C00000" w:sz="8"/>
              <w:right w:val="single" w:color="C00000" w:sz="8"/>
            </w:tcBorders>
            <w:shd w:fill="FFF2F2" w:val="clear"/>
            <w:tcMar>
              <w:top w:type="dxa" w:w="160"/>
              <w:left w:type="dxa" w:w="200"/>
              <w:bottom w:type="dxa" w:w="160"/>
              <w:right w:type="dxa" w:w="200"/>
            </w:tcMar>
          </w:tcPr>
          <w:p>
            <w:r>
              <w:rPr>
                <w:rFonts w:ascii="Arial" w:cs="Arial" w:eastAsia="Arial" w:hAnsi="Arial"/>
                <w:b/>
                <w:bCs/>
                <w:color w:val="C00000"/>
                <w:sz w:val="24"/>
                <w:szCs w:val="24"/>
              </w:rPr>
              <w:t xml:space="preserve">ENTSCHEIDEND: Verjährung nach §548 BGB</w:t>
            </w:r>
          </w:p>
          <w:p>
            <w:pPr>
              <w:spacing w:after="60" w:before="60"/>
            </w:pPr>
            <w:r>
              <w:t xml:space="preserve"/>
            </w:r>
          </w:p>
          <w:p>
            <w:r>
              <w:rPr>
                <w:rFonts w:ascii="Arial" w:cs="Arial" w:eastAsia="Arial" w:hAnsi="Arial"/>
                <w:sz w:val="22"/>
                <w:szCs w:val="22"/>
              </w:rPr>
              <w:t xml:space="preserve">Übergabedatum:  27.03.2024</w:t>
            </w:r>
          </w:p>
          <w:p>
            <w:r>
              <w:rPr>
                <w:rFonts w:ascii="Arial" w:cs="Arial" w:eastAsia="Arial" w:hAnsi="Arial"/>
                <w:b/>
                <w:bCs/>
                <w:sz w:val="22"/>
                <w:szCs w:val="22"/>
              </w:rPr>
              <w:t xml:space="preserve">6-Monats-Frist endet:  27.09.2024  (gesetzlicher Stichtag)</w:t>
            </w:r>
          </w:p>
          <w:p>
            <w:r>
              <w:rPr>
                <w:rFonts w:ascii="Arial" w:cs="Arial" w:eastAsia="Arial" w:hAnsi="Arial"/>
                <w:b/>
                <w:bCs/>
                <w:color w:val="C00000"/>
                <w:sz w:val="22"/>
                <w:szCs w:val="22"/>
              </w:rPr>
              <w:t xml:space="preserve">Lorgers Kautionsabrechnung:  30.09.2024  — 3 TAGE ZU SPÄT</w:t>
            </w:r>
          </w:p>
          <w:p>
            <w:pPr>
              <w:spacing w:after="60" w:before="60"/>
            </w:pPr>
            <w:r>
              <w:t xml:space="preserve"/>
            </w:r>
          </w:p>
          <w:p>
            <w:r>
              <w:rPr>
                <w:rFonts w:ascii="Arial" w:cs="Arial" w:eastAsia="Arial" w:hAnsi="Arial"/>
                <w:sz w:val="22"/>
                <w:szCs w:val="22"/>
              </w:rPr>
              <w:t xml:space="preserve">Fazit: Lorgers sämtliche Schadensersatzansprüche aus dem Mietverhältnis sind zum Zeitpunkt der Kautionsabrechnung bereits verjährt. Eine rechtswirksame Verrechnung mit der Kaution ist daher nicht möglich.</w:t>
            </w:r>
          </w:p>
        </w:tc>
      </w:tr>
    </w:tbl>
    <w:p>
      <w:pPr>
        <w:spacing w:after="60" w:before="60"/>
      </w:pPr>
      <w:r>
        <w:t xml:space="preserve"/>
      </w:r>
    </w:p>
    <w:p>
      <w:pPr>
        <w:pStyle w:val="Heading2"/>
        <w:spacing w:after="120" w:before="300"/>
      </w:pPr>
      <w:r>
        <w:rPr>
          <w:rFonts w:ascii="Arial" w:cs="Arial" w:eastAsia="Arial" w:hAnsi="Arial"/>
          <w:b/>
          <w:bCs/>
          <w:color w:val="2E75B6"/>
          <w:sz w:val="28"/>
          <w:szCs w:val="28"/>
        </w:rPr>
        <w:t xml:space="preserve">3.2 Keine ordnungsgemäße Zustellung — Beweisproblem Lorger</w:t>
      </w:r>
    </w:p>
    <w:p>
      <w:pPr>
        <w:spacing w:after="80" w:before="80"/>
      </w:pPr>
      <w:r>
        <w:rPr>
          <w:rFonts w:ascii="Arial" w:cs="Arial" w:eastAsia="Arial" w:hAnsi="Arial"/>
          <w:sz w:val="22"/>
          <w:szCs w:val="22"/>
        </w:rPr>
        <w:t xml:space="preserve">Sämtliche rechtlich relevanten Mitteilungen von Lorger wurden ausschließlich per E-Mail versendet — nie per Einschreiben. Damit kann Lorger die rechtswirksame Zustellung ihrer Forderungen nicht nachweisen. Die Beweislast liegt ausschließlich bei ihr.</w:t>
      </w:r>
    </w:p>
    <w:p>
      <w:pPr>
        <w:spacing w:after="60" w:before="60"/>
      </w:pPr>
      <w:r>
        <w:t xml:space="preserve"/>
      </w:r>
    </w:p>
    <w:p>
      <w:pPr>
        <w:pStyle w:val="ListParagraph"/>
        <w:numPr>
          <w:ilvl w:val="0"/>
          <w:numId w:val="2"/>
        </w:numPr>
        <w:spacing w:after="60" w:before="60"/>
      </w:pPr>
      <w:r>
        <w:rPr>
          <w:rFonts w:ascii="Arial" w:cs="Arial" w:eastAsia="Arial" w:hAnsi="Arial"/>
          <w:b w:val="false"/>
          <w:bCs w:val="false"/>
          <w:sz w:val="22"/>
          <w:szCs w:val="22"/>
        </w:rPr>
        <w:t xml:space="preserve">Mietvertrag: per E-Mail (27.04.2021)</w:t>
      </w:r>
    </w:p>
    <w:p>
      <w:pPr>
        <w:pStyle w:val="ListParagraph"/>
        <w:numPr>
          <w:ilvl w:val="0"/>
          <w:numId w:val="2"/>
        </w:numPr>
        <w:spacing w:after="60" w:before="60"/>
      </w:pPr>
      <w:r>
        <w:rPr>
          <w:rFonts w:ascii="Arial" w:cs="Arial" w:eastAsia="Arial" w:hAnsi="Arial"/>
          <w:b w:val="false"/>
          <w:bCs w:val="false"/>
          <w:sz w:val="22"/>
          <w:szCs w:val="22"/>
        </w:rPr>
        <w:t xml:space="preserve">Wohnungsübergabeprotokoll (Auszug) mit angeblichen Mängeln: per E-Mail (30.03.2024) — kein Einschreiben</w:t>
      </w:r>
    </w:p>
    <w:p>
      <w:pPr>
        <w:pStyle w:val="ListParagraph"/>
        <w:numPr>
          <w:ilvl w:val="0"/>
          <w:numId w:val="2"/>
        </w:numPr>
        <w:spacing w:after="60" w:before="60"/>
      </w:pPr>
      <w:r>
        <w:rPr>
          <w:rFonts w:ascii="Arial" w:cs="Arial" w:eastAsia="Arial" w:hAnsi="Arial"/>
          <w:b w:val="false"/>
          <w:bCs w:val="false"/>
          <w:sz w:val="22"/>
          <w:szCs w:val="22"/>
        </w:rPr>
        <w:t xml:space="preserve">Kautionsabrechnung: per E-Mail (30.09.2024 und 09.05.2025) — kein Einschreiben</w:t>
      </w:r>
    </w:p>
    <w:p>
      <w:pPr>
        <w:pStyle w:val="ListParagraph"/>
        <w:numPr>
          <w:ilvl w:val="0"/>
          <w:numId w:val="2"/>
        </w:numPr>
        <w:spacing w:after="60" w:before="60"/>
      </w:pPr>
      <w:r>
        <w:rPr>
          <w:rFonts w:ascii="Arial" w:cs="Arial" w:eastAsia="Arial" w:hAnsi="Arial"/>
          <w:b w:val="false"/>
          <w:bCs w:val="false"/>
          <w:sz w:val="22"/>
          <w:szCs w:val="22"/>
        </w:rPr>
        <w:t xml:space="preserve">Keine der Forderungen Lorgers wurde nach anerkannten rechtlichen Standards zugestellt</w:t>
      </w:r>
    </w:p>
    <w:p>
      <w:pPr>
        <w:spacing w:after="60" w:before="60"/>
      </w:pPr>
      <w:r>
        <w:t xml:space="preserve"/>
      </w:r>
    </w:p>
    <w:p>
      <w:pPr>
        <w:spacing w:after="80" w:before="80"/>
      </w:pPr>
      <w:r>
        <w:rPr>
          <w:rFonts w:ascii="Arial" w:cs="Arial" w:eastAsia="Arial" w:hAnsi="Arial"/>
          <w:sz w:val="22"/>
          <w:szCs w:val="22"/>
        </w:rPr>
        <w:t xml:space="preserve">Im Gegensatz dazu: Auda hat seine finale Mahnung vom 07.04.2025 nachweislich per Einschreiben versandt.</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3.3 Systematische Fristversäumnisse durch Lorger</w:t>
      </w:r>
    </w:p>
    <w:p>
      <w:pPr>
        <w:spacing w:after="80" w:before="80"/>
      </w:pPr>
      <w:r>
        <w:rPr>
          <w:rFonts w:ascii="Arial" w:cs="Arial" w:eastAsia="Arial" w:hAnsi="Arial"/>
          <w:sz w:val="22"/>
          <w:szCs w:val="22"/>
        </w:rPr>
        <w:t xml:space="preserve">Lorger hat wiederholt auf Meldungen von Auda verspätet oder gar nicht reagiert:</w:t>
      </w:r>
    </w:p>
    <w:p>
      <w:pPr>
        <w:spacing w:after="60" w:before="60"/>
      </w:pPr>
      <w:r>
        <w:t xml:space="preserve"/>
      </w:r>
    </w:p>
    <w:p>
      <w:pPr>
        <w:pStyle w:val="ListParagraph"/>
        <w:numPr>
          <w:ilvl w:val="0"/>
          <w:numId w:val="2"/>
        </w:numPr>
        <w:spacing w:after="60" w:before="60"/>
      </w:pPr>
      <w:r>
        <w:rPr>
          <w:rFonts w:ascii="Arial" w:cs="Arial" w:eastAsia="Arial" w:hAnsi="Arial"/>
          <w:b w:val="false"/>
          <w:bCs w:val="false"/>
          <w:sz w:val="22"/>
          <w:szCs w:val="22"/>
        </w:rPr>
        <w:t xml:space="preserve">Mängelanzeige Heizung (19.01.2024): Reaktion erst nach 7 Tagen — gesetzlich: 3–4 Tage</w:t>
      </w:r>
    </w:p>
    <w:p>
      <w:pPr>
        <w:pStyle w:val="ListParagraph"/>
        <w:numPr>
          <w:ilvl w:val="0"/>
          <w:numId w:val="2"/>
        </w:numPr>
        <w:spacing w:after="60" w:before="60"/>
      </w:pPr>
      <w:r>
        <w:rPr>
          <w:rFonts w:ascii="Arial" w:cs="Arial" w:eastAsia="Arial" w:hAnsi="Arial"/>
          <w:b w:val="false"/>
          <w:bCs w:val="false"/>
          <w:sz w:val="22"/>
          <w:szCs w:val="22"/>
        </w:rPr>
        <w:t xml:space="preserve">Heizungsschaden blieb auch nach dem Vor-Ort-Termin (01.02.2024) unbehoben</w:t>
      </w:r>
    </w:p>
    <w:p>
      <w:pPr>
        <w:pStyle w:val="ListParagraph"/>
        <w:numPr>
          <w:ilvl w:val="0"/>
          <w:numId w:val="2"/>
        </w:numPr>
        <w:spacing w:after="60" w:before="60"/>
      </w:pPr>
      <w:r>
        <w:rPr>
          <w:rFonts w:ascii="Arial" w:cs="Arial" w:eastAsia="Arial" w:hAnsi="Arial"/>
          <w:b w:val="false"/>
          <w:bCs w:val="false"/>
          <w:sz w:val="22"/>
          <w:szCs w:val="22"/>
        </w:rPr>
        <w:t xml:space="preserve">Belegeinsicht Nebenkosten: trotz mehrfacher Aufforderung nie gewährt — Verstoß gegen §§ 259, 260 BGB</w:t>
      </w:r>
    </w:p>
    <w:p>
      <w:pPr>
        <w:pStyle w:val="ListParagraph"/>
        <w:numPr>
          <w:ilvl w:val="0"/>
          <w:numId w:val="2"/>
        </w:numPr>
        <w:spacing w:after="60" w:before="60"/>
      </w:pPr>
      <w:r>
        <w:rPr>
          <w:rFonts w:ascii="Arial" w:cs="Arial" w:eastAsia="Arial" w:hAnsi="Arial"/>
          <w:b w:val="false"/>
          <w:bCs w:val="false"/>
          <w:sz w:val="22"/>
          <w:szCs w:val="22"/>
        </w:rPr>
        <w:t xml:space="preserve">Kautionsabrechnung: 3 Tage nach Fristablauf — zu spät für rechtswirksame Geltendmachung</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3.4 Zustand der Wohnung — Vertragsbruch durch Lorger</w:t>
      </w:r>
    </w:p>
    <w:p>
      <w:pPr>
        <w:spacing w:after="80" w:before="80"/>
      </w:pPr>
      <w:r>
        <w:rPr>
          <w:rFonts w:ascii="Arial" w:cs="Arial" w:eastAsia="Arial" w:hAnsi="Arial"/>
          <w:sz w:val="22"/>
          <w:szCs w:val="22"/>
        </w:rPr>
        <w:t xml:space="preserve">Lorger kam ihren Vermieterpflichten über den gesamten Mietzeiraum nicht nach. Dies ist vollständig dokumentiert und für den Fall relevant, da es zeigt, dass die Schuld für etwaige Schäden nicht beim Mieter liegt:</w:t>
      </w:r>
    </w:p>
    <w:p>
      <w:pPr>
        <w:spacing w:after="60" w:before="60"/>
      </w:pPr>
      <w:r>
        <w:t xml:space="preserve"/>
      </w:r>
    </w:p>
    <w:p>
      <w:pPr>
        <w:pStyle w:val="ListParagraph"/>
        <w:numPr>
          <w:ilvl w:val="0"/>
          <w:numId w:val="2"/>
        </w:numPr>
        <w:spacing w:after="60" w:before="60"/>
      </w:pPr>
      <w:r>
        <w:rPr>
          <w:rFonts w:ascii="Arial" w:cs="Arial" w:eastAsia="Arial" w:hAnsi="Arial"/>
          <w:b w:val="false"/>
          <w:bCs w:val="false"/>
          <w:sz w:val="22"/>
          <w:szCs w:val="22"/>
        </w:rPr>
        <w:t xml:space="preserve">Defekte Heizung: mehrfach gemeldet, nie behoben — Außentemperaturen bis -7°C</w:t>
      </w:r>
    </w:p>
    <w:p>
      <w:pPr>
        <w:pStyle w:val="ListParagraph"/>
        <w:numPr>
          <w:ilvl w:val="0"/>
          <w:numId w:val="2"/>
        </w:numPr>
        <w:spacing w:after="60" w:before="60"/>
      </w:pPr>
      <w:r>
        <w:rPr>
          <w:rFonts w:ascii="Arial" w:cs="Arial" w:eastAsia="Arial" w:hAnsi="Arial"/>
          <w:b w:val="false"/>
          <w:bCs w:val="false"/>
          <w:sz w:val="22"/>
          <w:szCs w:val="22"/>
        </w:rPr>
        <w:t xml:space="preserve">Schimmelbildung in der Wohnung: durch Fotos dokumentiert (Google Drive)</w:t>
      </w:r>
    </w:p>
    <w:p>
      <w:pPr>
        <w:pStyle w:val="ListParagraph"/>
        <w:numPr>
          <w:ilvl w:val="0"/>
          <w:numId w:val="2"/>
        </w:numPr>
        <w:spacing w:after="60" w:before="60"/>
      </w:pPr>
      <w:r>
        <w:rPr>
          <w:rFonts w:ascii="Arial" w:cs="Arial" w:eastAsia="Arial" w:hAnsi="Arial"/>
          <w:b w:val="false"/>
          <w:bCs w:val="false"/>
          <w:sz w:val="22"/>
          <w:szCs w:val="22"/>
        </w:rPr>
        <w:t xml:space="preserve">Pilzwachstum im Keller: durch Zeuge Giulia fotodokumentiert</w:t>
      </w:r>
    </w:p>
    <w:p>
      <w:pPr>
        <w:pStyle w:val="ListParagraph"/>
        <w:numPr>
          <w:ilvl w:val="0"/>
          <w:numId w:val="2"/>
        </w:numPr>
        <w:spacing w:after="60" w:before="60"/>
      </w:pPr>
      <w:r>
        <w:rPr>
          <w:rFonts w:ascii="Arial" w:cs="Arial" w:eastAsia="Arial" w:hAnsi="Arial"/>
          <w:b w:val="false"/>
          <w:bCs w:val="false"/>
          <w:sz w:val="22"/>
          <w:szCs w:val="22"/>
        </w:rPr>
        <w:t xml:space="preserve">Feuermelder: keine nachgewiesene Wartung</w:t>
      </w:r>
    </w:p>
    <w:p>
      <w:pPr>
        <w:pStyle w:val="ListParagraph"/>
        <w:numPr>
          <w:ilvl w:val="0"/>
          <w:numId w:val="2"/>
        </w:numPr>
        <w:spacing w:after="60" w:before="60"/>
      </w:pPr>
      <w:r>
        <w:rPr>
          <w:rFonts w:ascii="Arial" w:cs="Arial" w:eastAsia="Arial" w:hAnsi="Arial"/>
          <w:b w:val="false"/>
          <w:bCs w:val="false"/>
          <w:sz w:val="22"/>
          <w:szCs w:val="22"/>
        </w:rPr>
        <w:t xml:space="preserve">Defekte Fenster (Schlafzimmer): fotodokumentiert</w:t>
      </w:r>
    </w:p>
    <w:p>
      <w:pPr>
        <w:pStyle w:val="ListParagraph"/>
        <w:numPr>
          <w:ilvl w:val="0"/>
          <w:numId w:val="2"/>
        </w:numPr>
        <w:spacing w:after="60" w:before="60"/>
      </w:pPr>
      <w:r>
        <w:rPr>
          <w:rFonts w:ascii="Arial" w:cs="Arial" w:eastAsia="Arial" w:hAnsi="Arial"/>
          <w:b w:val="false"/>
          <w:bCs w:val="false"/>
          <w:sz w:val="22"/>
          <w:szCs w:val="22"/>
        </w:rPr>
        <w:t xml:space="preserve">Garage: zwei Jahre nach Einzug gestrichen (beim Einzug versprochen) — Garagentür schließt nicht</w:t>
      </w:r>
    </w:p>
    <w:p>
      <w:pPr>
        <w:pStyle w:val="ListParagraph"/>
        <w:numPr>
          <w:ilvl w:val="0"/>
          <w:numId w:val="2"/>
        </w:numPr>
        <w:spacing w:after="60" w:before="60"/>
      </w:pPr>
      <w:r>
        <w:rPr>
          <w:rFonts w:ascii="Arial" w:cs="Arial" w:eastAsia="Arial" w:hAnsi="Arial"/>
          <w:b w:val="false"/>
          <w:bCs w:val="false"/>
          <w:sz w:val="22"/>
          <w:szCs w:val="22"/>
        </w:rPr>
        <w:t xml:space="preserve">Kellerbeleuchtung 2. OG defekt</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3.5 Auda hat sich aktiv gemeldet — Dokumentation vollständig</w:t>
      </w:r>
    </w:p>
    <w:p>
      <w:pPr>
        <w:spacing w:after="80" w:before="80"/>
      </w:pPr>
      <w:r>
        <w:rPr>
          <w:rFonts w:ascii="Arial" w:cs="Arial" w:eastAsia="Arial" w:hAnsi="Arial"/>
          <w:sz w:val="22"/>
          <w:szCs w:val="22"/>
        </w:rPr>
        <w:t xml:space="preserve">Die Behauptung, der Mieter hätte Mängel nicht gemeldet oder sei seinen Pflichten nicht nachgekommen, ist durch folgende Belege widerlegbar:</w:t>
      </w:r>
    </w:p>
    <w:p>
      <w:pPr>
        <w:spacing w:after="60" w:before="60"/>
      </w:pPr>
      <w:r>
        <w:t xml:space="preserve"/>
      </w:r>
    </w:p>
    <w:p>
      <w:pPr>
        <w:pStyle w:val="ListParagraph"/>
        <w:numPr>
          <w:ilvl w:val="0"/>
          <w:numId w:val="2"/>
        </w:numPr>
        <w:spacing w:after="60" w:before="60"/>
      </w:pPr>
      <w:r>
        <w:rPr>
          <w:rFonts w:ascii="Arial" w:cs="Arial" w:eastAsia="Arial" w:hAnsi="Arial"/>
          <w:b w:val="false"/>
          <w:bCs w:val="false"/>
          <w:sz w:val="22"/>
          <w:szCs w:val="22"/>
        </w:rPr>
        <w:t xml:space="preserve">E-Mails an Lorger mit Timestamps: vollständig im Gmail-Postfach gesichert</w:t>
      </w:r>
    </w:p>
    <w:p>
      <w:pPr>
        <w:pStyle w:val="ListParagraph"/>
        <w:numPr>
          <w:ilvl w:val="0"/>
          <w:numId w:val="2"/>
        </w:numPr>
        <w:spacing w:after="60" w:before="60"/>
      </w:pPr>
      <w:r>
        <w:rPr>
          <w:rFonts w:ascii="Arial" w:cs="Arial" w:eastAsia="Arial" w:hAnsi="Arial"/>
          <w:b w:val="false"/>
          <w:bCs w:val="false"/>
          <w:sz w:val="22"/>
          <w:szCs w:val="22"/>
        </w:rPr>
        <w:t xml:space="preserve">Kontaktformular-Eingaben: mit Screenshots dokumentiert (Google Drive)</w:t>
      </w:r>
    </w:p>
    <w:p>
      <w:pPr>
        <w:pStyle w:val="ListParagraph"/>
        <w:numPr>
          <w:ilvl w:val="0"/>
          <w:numId w:val="2"/>
        </w:numPr>
        <w:spacing w:after="60" w:before="60"/>
      </w:pPr>
      <w:r>
        <w:rPr>
          <w:rFonts w:ascii="Arial" w:cs="Arial" w:eastAsia="Arial" w:hAnsi="Arial"/>
          <w:b w:val="false"/>
          <w:bCs w:val="false"/>
          <w:sz w:val="22"/>
          <w:szCs w:val="22"/>
        </w:rPr>
        <w:t xml:space="preserve">Schriftliche Stellungnahme zur Mängelliste: 02.04.2024</w:t>
      </w:r>
    </w:p>
    <w:p>
      <w:pPr>
        <w:pStyle w:val="ListParagraph"/>
        <w:numPr>
          <w:ilvl w:val="0"/>
          <w:numId w:val="2"/>
        </w:numPr>
        <w:spacing w:after="60" w:before="60"/>
      </w:pPr>
      <w:r>
        <w:rPr>
          <w:rFonts w:ascii="Arial" w:cs="Arial" w:eastAsia="Arial" w:hAnsi="Arial"/>
          <w:b w:val="false"/>
          <w:bCs w:val="false"/>
          <w:sz w:val="22"/>
          <w:szCs w:val="22"/>
        </w:rPr>
        <w:t xml:space="preserve">Finale Mahnung per Einschreiben: 07.04.2025</w:t>
      </w:r>
    </w:p>
    <w:p>
      <w:pPr>
        <w:pStyle w:val="ListParagraph"/>
        <w:numPr>
          <w:ilvl w:val="0"/>
          <w:numId w:val="2"/>
        </w:numPr>
        <w:spacing w:after="60" w:before="60"/>
      </w:pPr>
      <w:r>
        <w:rPr>
          <w:rFonts w:ascii="Arial" w:cs="Arial" w:eastAsia="Arial" w:hAnsi="Arial"/>
          <w:b w:val="false"/>
          <w:bCs w:val="false"/>
          <w:sz w:val="22"/>
          <w:szCs w:val="22"/>
        </w:rPr>
        <w:t xml:space="preserve">Weitergabe des Übergabeprotokolls an Zeuge Uwe: 01.04.2024</w:t>
      </w:r>
    </w:p>
    <w:p>
      <w:pPr>
        <w:spacing w:after="60" w:before="60"/>
      </w:pPr>
      <w:r>
        <w:t xml:space="preserve"/>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4. Vollständige Beweismittelübersicht</w:t>
      </w:r>
    </w:p>
    <w:p>
      <w:pPr>
        <w:spacing w:after="80" w:before="80"/>
      </w:pPr>
      <w:r>
        <w:rPr>
          <w:rFonts w:ascii="Arial" w:cs="Arial" w:eastAsia="Arial" w:hAnsi="Arial"/>
          <w:sz w:val="22"/>
          <w:szCs w:val="22"/>
        </w:rPr>
        <w:t xml:space="preserve">Alle nachfolgend aufgeführten Dokumente sind entweder in Gmail oder Google Drive gesichert und können dem Anwalt auf Anfrage unverzüglich bereitgestellt werden.</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4.1 E-Mail-Korrespondenz (Gmail)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400"/>
        <w:gridCol w:w="3560"/>
      </w:tblGrid>
      <w:tr>
        <w:trPr>
          <w:tblHeader/>
        </w:trPr>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Betreff / Inhalt</w:t>
            </w:r>
          </w:p>
        </w:tc>
        <w:tc>
          <w:tcPr>
            <w:tcW w:type="dxa" w:w="1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Art</w:t>
            </w:r>
          </w:p>
        </w:tc>
        <w:tc>
          <w:tcPr>
            <w:tcW w:type="dxa" w:w="1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Datum</w:t>
            </w:r>
          </w:p>
        </w:tc>
        <w:tc>
          <w:tcPr>
            <w:tcW w:type="dxa" w:w="3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Bedeutung</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MV Weserstr. 75 — Mietvertrag Wohnung+Garage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27.04.2021</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Whgübergabeprotokoll + Termin Techem (Einzug)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11.05.2021</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NK-Abrechnung 2021</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31.12.2022</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NK-Abrechnung 2022 (+ Lorger-Antwort)</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29.12.2023</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Anfrage persönliches Gespräch (Heizung)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 Auda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19.01.2024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Terminvorschläge Vor-Ort (Lorger)</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26.01.2024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Beschwerde + Terminbestätigung (Auda)</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 Auda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29.01.2024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Übergabeprotokoll Auszug + Fotos (Lorger)</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30.03.2024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Weiterleitung Protokoll an Zeuge Uwe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 Auda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01.04.2024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Stellungnahme Mängelliste (Auda)</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 Auda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02.04.2024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Kautionsabrechnung — erste (Lorger)</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30.09.2024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NK-Abrechnung 2023</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31.12.2024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Kautionsabrechnung — erneut (Lorger)</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09.05.2025</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NK-Abrechnung 2024 (anteilig)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E-Mail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31.12.2025</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bl>
    <w:p>
      <w:pPr>
        <w:spacing w:after="60" w:before="60"/>
      </w:pPr>
      <w:r>
        <w:t xml:space="preserve"/>
      </w:r>
    </w:p>
    <w:p>
      <w:pPr>
        <w:pStyle w:val="Heading2"/>
        <w:spacing w:after="120" w:before="300"/>
      </w:pPr>
      <w:r>
        <w:rPr>
          <w:rFonts w:ascii="Arial" w:cs="Arial" w:eastAsia="Arial" w:hAnsi="Arial"/>
          <w:b/>
          <w:bCs/>
          <w:color w:val="2E75B6"/>
          <w:sz w:val="28"/>
          <w:szCs w:val="28"/>
        </w:rPr>
        <w:t xml:space="preserve">4.2 Dokumente (Google Drive)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400"/>
        <w:gridCol w:w="3560"/>
      </w:tblGrid>
      <w:tr>
        <w:trPr>
          <w:tblHeader/>
        </w:trPr>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Dokument</w:t>
            </w:r>
          </w:p>
        </w:tc>
        <w:tc>
          <w:tcPr>
            <w:tcW w:type="dxa" w:w="1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Typ</w:t>
            </w:r>
          </w:p>
        </w:tc>
        <w:tc>
          <w:tcPr>
            <w:tcW w:type="dxa" w:w="1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Datum</w:t>
            </w:r>
          </w:p>
        </w:tc>
        <w:tc>
          <w:tcPr>
            <w:tcW w:type="dxa" w:w="3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Inhalt / Bedeutung</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Mahnung Lorger.docx</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DOCX</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07.04.2025</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Kautionsfreigabe-Template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Google Doc</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06.04.2025</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Beschwerde Frau Lorger (Entwurf 1)</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Google Doc</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29.01.2024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Beschwerde Frau Lorger (Entwurf 2)</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Google Doc</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Nov. 2023</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HK 2022 Auda.pdf (Techem)</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PDF</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Juli 2023</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Wohnungsgeberbestätigung Einzug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PDF</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10.05.2021</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Screenshot Kontaktformular (2×)</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JPG</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24.01.2024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Screenshot E-Mail Heizungsanfrage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JPG</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19.01.2024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Impressum HVW Lorger (Screenshots)</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JPG</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2023–2025</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Fotos Wohnungsmängel</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8"/>
                <w:szCs w:val="18"/>
              </w:rPr>
              <w:t xml:space="preserve">JPG/Ordner</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2023–2024</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555555"/>
                <w:sz w:val="18"/>
                <w:szCs w:val="18"/>
              </w:rPr>
            </w:r>
          </w:p>
        </w:tc>
      </w:tr>
    </w:tbl>
    <w:p>
      <w:pPr>
        <w:spacing w:after="60" w:before="60"/>
      </w:pPr>
      <w:r>
        <w:t xml:space="preserve"/>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5. Zeugenliste</w:t>
      </w:r>
    </w:p>
    <w:p>
      <w:pPr>
        <w:spacing w:after="80" w:before="80"/>
      </w:pPr>
      <w:r>
        <w:rPr>
          <w:rFonts w:ascii="Arial" w:cs="Arial" w:eastAsia="Arial" w:hAnsi="Arial"/>
          <w:sz w:val="22"/>
          <w:szCs w:val="22"/>
        </w:rPr>
        <w:t xml:space="preserve">Folgende Personen können als Zeugen für relevante Sachverhalte benannt werden: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Zeuge</w:t>
            </w:r>
          </w:p>
        </w:tc>
        <w:tc>
          <w:tcPr>
            <w:tcW w:type="dxa" w:w="3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Beziehung / Rolle</w:t>
            </w:r>
          </w:p>
        </w:tc>
        <w:tc>
          <w:tcPr>
            <w:tcW w:type="dxa" w:w="368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Mögliche Aussage zu</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Sara Pospischil</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Mitmieter, Wohnungspartnerin</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Zustand der Wohnung, Übergabe, Mängel, Kautionskonto</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2"/>
                <w:szCs w:val="22"/>
              </w:rPr>
              <w:t xml:space="preserve">Uwe Grünefeld</w:t>
            </w:r>
          </w:p>
        </w:tc>
        <w:tc>
          <w:tcPr>
            <w:tcW w:type="dxa" w:w="3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2"/>
                <w:szCs w:val="22"/>
              </w:rPr>
              <w:t xml:space="preserve">Vertrauensperson — erhielt Übergabeprotokoll per E-Mail (01.04.2024)</w:t>
            </w:r>
          </w:p>
        </w:tc>
        <w:tc>
          <w:tcPr>
            <w:tcW w:type="dxa" w:w="3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2"/>
                <w:szCs w:val="22"/>
              </w:rPr>
              <w:t xml:space="preserve">Zeitnahe Weiterleitung Übergabeprotokoll, Zustand der Wohnung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Giulia</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Bekannte — Foto Eimer unter Rohr (Wasserschaden)</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Schlechter baulicher Zustand, Wasserschaden</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2"/>
                <w:szCs w:val="22"/>
              </w:rPr>
              <w:t xml:space="preserve">Markus</w:t>
            </w:r>
          </w:p>
        </w:tc>
        <w:tc>
          <w:tcPr>
            <w:tcW w:type="dxa" w:w="3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2"/>
                <w:szCs w:val="22"/>
              </w:rPr>
              <w:t xml:space="preserve">Zeuge — Details noch zu klären</w:t>
            </w:r>
          </w:p>
        </w:tc>
        <w:tc>
          <w:tcPr>
            <w:tcW w:type="dxa" w:w="3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2"/>
                <w:szCs w:val="22"/>
              </w:rPr>
              <w:t xml:space="preserve">Noch zu präzisieren</w:t>
            </w:r>
          </w:p>
        </w:tc>
      </w:tr>
    </w:tbl>
    <w:p>
      <w:pPr>
        <w:spacing w:after="60" w:before="60"/>
      </w:pPr>
      <w:r>
        <w:t xml:space="preserve"/>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6. Forderungsübersicht</w:t>
      </w:r>
    </w:p>
    <w:p>
      <w:pPr>
        <w:spacing w:after="80" w:before="80"/>
      </w:pPr>
      <w:r>
        <w:rPr>
          <w:rFonts w:ascii="Arial" w:cs="Arial" w:eastAsia="Arial" w:hAnsi="Arial"/>
          <w:sz w:val="22"/>
          <w:szCs w:val="22"/>
        </w:rPr>
        <w:t xml:space="preserve">Folgende Beträge sind vom Beklagten einzufordern: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rPr>
          <w:tblHeader/>
        </w:trPr>
        <w:tc>
          <w:tcPr>
            <w:tcW w:type="dxa" w:w="57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Position</w:t>
            </w:r>
          </w:p>
        </w:tc>
        <w:tc>
          <w:tcPr>
            <w:tcW w:type="dxa" w:w="3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Betrag</w:t>
            </w:r>
          </w:p>
        </w:tc>
      </w:tr>
      <w:tr>
        <w:tc>
          <w:tcPr>
            <w:tcW w:type="dxa" w:w="57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b/>
                <w:bCs/>
                <w:sz w:val="22"/>
                <w:szCs w:val="22"/>
              </w:rPr>
              <w:t xml:space="preserve">Mietkaution (Hauptforderung)</w:t>
            </w:r>
          </w:p>
        </w:tc>
        <w:tc>
          <w:tcPr>
            <w:tcW w:type="dxa" w:w="360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b/>
                <w:bCs/>
                <w:sz w:val="22"/>
                <w:szCs w:val="22"/>
              </w:rPr>
              <w:t xml:space="preserve">2.700,00 €</w:t>
            </w:r>
          </w:p>
        </w:tc>
      </w:tr>
      <w:tr>
        <w:tc>
          <w:tcPr>
            <w:tcW w:type="dxa" w:w="5760"/>
            <w:tcBorders>
              <w:top w:val="single" w:color="CCCCCC" w:sz="1"/>
              <w:left w:val="single" w:color="CCCCCC" w:sz="1"/>
              <w:bottom w:val="single" w:color="CCCCCC" w:sz="1"/>
              <w:right w:val="single" w:color="CCCCCC" w:sz="1"/>
            </w:tcBorders>
            <w:shd w:fill="F2F2F2" w:val="clear"/>
            <w:tcMar>
              <w:top w:type="dxa" w:w="100"/>
              <w:left w:type="dxa" w:w="160"/>
              <w:bottom w:type="dxa" w:w="100"/>
              <w:right w:type="dxa" w:w="160"/>
            </w:tcMar>
          </w:tcPr>
          <w:p>
            <w:r>
              <w:rPr>
                <w:rFonts w:ascii="Arial" w:cs="Arial" w:eastAsia="Arial" w:hAnsi="Arial"/>
                <w:sz w:val="22"/>
                <w:szCs w:val="22"/>
              </w:rPr>
              <w:t xml:space="preserve">Anwaltskosten (werden von Lorger zu tragen sein bei Obsiegen)</w:t>
            </w:r>
          </w:p>
        </w:tc>
        <w:tc>
          <w:tcPr>
            <w:tcW w:type="dxa" w:w="3600"/>
            <w:tcBorders>
              <w:top w:val="single" w:color="CCCCCC" w:sz="1"/>
              <w:left w:val="single" w:color="CCCCCC" w:sz="1"/>
              <w:bottom w:val="single" w:color="CCCCCC" w:sz="1"/>
              <w:right w:val="single" w:color="CCCCCC" w:sz="1"/>
            </w:tcBorders>
            <w:shd w:fill="F2F2F2" w:val="clear"/>
            <w:tcMar>
              <w:top w:type="dxa" w:w="100"/>
              <w:left w:type="dxa" w:w="160"/>
              <w:bottom w:type="dxa" w:w="100"/>
              <w:right w:type="dxa" w:w="160"/>
            </w:tcMar>
          </w:tcPr>
          <w:p>
            <w:r>
              <w:rPr>
                <w:rFonts w:ascii="Arial" w:cs="Arial" w:eastAsia="Arial" w:hAnsi="Arial"/>
                <w:sz w:val="22"/>
                <w:szCs w:val="22"/>
              </w:rPr>
              <w:t xml:space="preserve">ca. 800,00 € (Schätzung)</w:t>
            </w:r>
          </w:p>
        </w:tc>
      </w:tr>
      <w:tr>
        <w:tc>
          <w:tcPr>
            <w:tcW w:type="dxa" w:w="5760"/>
            <w:tcBorders>
              <w:top w:val="single" w:color="CCCCCC" w:sz="1"/>
              <w:left w:val="single" w:color="CCCCCC" w:sz="1"/>
              <w:bottom w:val="single" w:color="CCCCCC" w:sz="1"/>
              <w:right w:val="single" w:color="CCCCCC" w:sz="1"/>
            </w:tcBorders>
            <w:shd w:fill="D6E4F0" w:val="clear"/>
            <w:tcMar>
              <w:top w:type="dxa" w:w="100"/>
              <w:left w:type="dxa" w:w="160"/>
              <w:bottom w:type="dxa" w:w="100"/>
              <w:right w:type="dxa" w:w="160"/>
            </w:tcMar>
          </w:tcPr>
          <w:p>
            <w:r>
              <w:rPr>
                <w:rFonts w:ascii="Arial" w:cs="Arial" w:eastAsia="Arial" w:hAnsi="Arial"/>
                <w:sz w:val="22"/>
                <w:szCs w:val="22"/>
              </w:rPr>
              <w:t xml:space="preserve">Zinsen auf Kaution (§§ 288, 291 BGB — ab Verzugseintritt)</w:t>
            </w:r>
          </w:p>
        </w:tc>
        <w:tc>
          <w:tcPr>
            <w:tcW w:type="dxa" w:w="3600"/>
            <w:tcBorders>
              <w:top w:val="single" w:color="CCCCCC" w:sz="1"/>
              <w:left w:val="single" w:color="CCCCCC" w:sz="1"/>
              <w:bottom w:val="single" w:color="CCCCCC" w:sz="1"/>
              <w:right w:val="single" w:color="CCCCCC" w:sz="1"/>
            </w:tcBorders>
            <w:shd w:fill="D6E4F0" w:val="clear"/>
            <w:tcMar>
              <w:top w:type="dxa" w:w="100"/>
              <w:left w:type="dxa" w:w="160"/>
              <w:bottom w:type="dxa" w:w="100"/>
              <w:right w:type="dxa" w:w="160"/>
            </w:tcMar>
          </w:tcPr>
          <w:p>
            <w:r>
              <w:rPr>
                <w:rFonts w:ascii="Arial" w:cs="Arial" w:eastAsia="Arial" w:hAnsi="Arial"/>
                <w:sz w:val="22"/>
                <w:szCs w:val="22"/>
              </w:rPr>
              <w:t xml:space="preserve">wird vom Anwalt berechnet</w:t>
            </w:r>
          </w:p>
        </w:tc>
      </w:tr>
      <w:tr>
        <w:tc>
          <w:tcPr>
            <w:tcW w:type="dxa" w:w="5760"/>
            <w:tcBorders>
              <w:top w:val="single" w:color="CCCCCC" w:sz="1"/>
              <w:left w:val="single" w:color="CCCCCC" w:sz="1"/>
              <w:bottom w:val="single" w:color="CCCCCC" w:sz="1"/>
              <w:right w:val="single" w:color="CCCCCC" w:sz="1"/>
            </w:tcBorders>
            <w:shd w:fill="1F3864" w:val="clear"/>
            <w:tcMar>
              <w:top w:type="dxa" w:w="120"/>
              <w:left w:type="dxa" w:w="160"/>
              <w:bottom w:type="dxa" w:w="120"/>
              <w:right w:type="dxa" w:w="160"/>
            </w:tcMar>
          </w:tcPr>
          <w:p>
            <w:r>
              <w:rPr>
                <w:rFonts w:ascii="Arial" w:cs="Arial" w:eastAsia="Arial" w:hAnsi="Arial"/>
                <w:b/>
                <w:bCs/>
                <w:color w:val="FFFFFF"/>
                <w:sz w:val="24"/>
                <w:szCs w:val="24"/>
              </w:rPr>
              <w:t xml:space="preserve">GESAMT (geschätzt)</w:t>
            </w:r>
          </w:p>
        </w:tc>
        <w:tc>
          <w:tcPr>
            <w:tcW w:type="dxa" w:w="3600"/>
            <w:tcBorders>
              <w:top w:val="single" w:color="CCCCCC" w:sz="1"/>
              <w:left w:val="single" w:color="CCCCCC" w:sz="1"/>
              <w:bottom w:val="single" w:color="CCCCCC" w:sz="1"/>
              <w:right w:val="single" w:color="CCCCCC" w:sz="1"/>
            </w:tcBorders>
            <w:shd w:fill="1F3864" w:val="clear"/>
            <w:tcMar>
              <w:top w:type="dxa" w:w="120"/>
              <w:left w:type="dxa" w:w="160"/>
              <w:bottom w:type="dxa" w:w="120"/>
              <w:right w:type="dxa" w:w="160"/>
            </w:tcMar>
          </w:tcPr>
          <w:p>
            <w:r>
              <w:rPr>
                <w:rFonts w:ascii="Arial" w:cs="Arial" w:eastAsia="Arial" w:hAnsi="Arial"/>
                <w:b/>
                <w:bCs/>
                <w:color w:val="FFFFFF"/>
                <w:sz w:val="24"/>
                <w:szCs w:val="24"/>
              </w:rPr>
              <w:t xml:space="preserve">ca. 3.500,00 € +</w:t>
            </w:r>
          </w:p>
        </w:tc>
      </w:tr>
    </w:tbl>
    <w:p>
      <w:pPr>
        <w:spacing w:after="60" w:before="60"/>
      </w:pPr>
      <w:r>
        <w:t xml:space="preserve"/>
      </w:r>
    </w:p>
    <w:p>
      <w:r>
        <w:br w:type="page"/>
      </w:r>
    </w:p>
    <w:p>
      <w:pPr>
        <w:pStyle w:val="Heading1"/>
        <w:pBdr>
          <w:bottom w:val="single" w:color="2E75B6" w:sz="8" w:space="6"/>
        </w:pBdr>
        <w:spacing w:after="160" w:before="400"/>
      </w:pPr>
      <w:r>
        <w:rPr>
          <w:rFonts w:ascii="Arial" w:cs="Arial" w:eastAsia="Arial" w:hAnsi="Arial"/>
          <w:b/>
          <w:bCs/>
          <w:color w:val="1F3864"/>
          <w:sz w:val="36"/>
          <w:szCs w:val="36"/>
        </w:rPr>
        <w:t xml:space="preserve">7. Empfehlungen und nächste Schritte</w:t>
      </w:r>
    </w:p>
    <w:p>
      <w:pPr>
        <w:pStyle w:val="Heading2"/>
        <w:spacing w:after="120" w:before="300"/>
      </w:pPr>
      <w:r>
        <w:rPr>
          <w:rFonts w:ascii="Arial" w:cs="Arial" w:eastAsia="Arial" w:hAnsi="Arial"/>
          <w:b/>
          <w:bCs/>
          <w:color w:val="2E75B6"/>
          <w:sz w:val="28"/>
          <w:szCs w:val="28"/>
        </w:rPr>
        <w:t xml:space="preserve">7.1 Sofortmaßnahmen</w:t>
      </w:r>
    </w:p>
    <w:p>
      <w:pPr>
        <w:pStyle w:val="ListParagraph"/>
        <w:numPr>
          <w:ilvl w:val="0"/>
          <w:numId w:val="3"/>
        </w:numPr>
        <w:spacing w:after="80" w:before="80"/>
      </w:pPr>
      <w:r>
        <w:rPr>
          <w:rFonts w:ascii="Arial" w:cs="Arial" w:eastAsia="Arial" w:hAnsi="Arial"/>
          <w:sz w:val="22"/>
          <w:szCs w:val="22"/>
        </w:rPr>
        <w:t xml:space="preserve">Vollständige E-Mail-Korrespondenz aus Gmail exportieren und dem Anwalt übergeben</w:t>
      </w:r>
    </w:p>
    <w:p>
      <w:pPr>
        <w:pStyle w:val="ListParagraph"/>
        <w:numPr>
          <w:ilvl w:val="0"/>
          <w:numId w:val="3"/>
        </w:numPr>
        <w:spacing w:after="80" w:before="80"/>
      </w:pPr>
      <w:r>
        <w:rPr>
          <w:rFonts w:ascii="Arial" w:cs="Arial" w:eastAsia="Arial" w:hAnsi="Arial"/>
          <w:sz w:val="22"/>
          <w:szCs w:val="22"/>
        </w:rPr>
        <w:t xml:space="preserve">Alle Google Drive Dokumente in einem Ordner zusammenstellen</w:t>
      </w:r>
    </w:p>
    <w:p>
      <w:pPr>
        <w:pStyle w:val="ListParagraph"/>
        <w:numPr>
          <w:ilvl w:val="0"/>
          <w:numId w:val="3"/>
        </w:numPr>
        <w:spacing w:after="80" w:before="80"/>
      </w:pPr>
      <w:r>
        <w:rPr>
          <w:rFonts w:ascii="Arial" w:cs="Arial" w:eastAsia="Arial" w:hAnsi="Arial"/>
          <w:sz w:val="22"/>
          <w:szCs w:val="22"/>
        </w:rPr>
        <w:t xml:space="preserve">Nachweis Einschreiben-Versand (Einlieferungsbeleg 07.04.2025) suchen und sichern</w:t>
      </w:r>
    </w:p>
    <w:p>
      <w:pPr>
        <w:pStyle w:val="ListParagraph"/>
        <w:numPr>
          <w:ilvl w:val="0"/>
          <w:numId w:val="3"/>
        </w:numPr>
        <w:spacing w:after="80" w:before="80"/>
      </w:pPr>
      <w:r>
        <w:rPr>
          <w:rFonts w:ascii="Arial" w:cs="Arial" w:eastAsia="Arial" w:hAnsi="Arial"/>
          <w:sz w:val="22"/>
          <w:szCs w:val="22"/>
        </w:rPr>
        <w:t xml:space="preserve">Video vom Einschreiben-Versand lokalisieren (Handy / Cloud-Backup)</w:t>
      </w:r>
    </w:p>
    <w:p>
      <w:pPr>
        <w:pStyle w:val="ListParagraph"/>
        <w:numPr>
          <w:ilvl w:val="0"/>
          <w:numId w:val="3"/>
        </w:numPr>
        <w:spacing w:after="80" w:before="80"/>
      </w:pPr>
      <w:r>
        <w:rPr>
          <w:rFonts w:ascii="Arial" w:cs="Arial" w:eastAsia="Arial" w:hAnsi="Arial"/>
          <w:sz w:val="22"/>
          <w:szCs w:val="22"/>
        </w:rPr>
        <w:t xml:space="preserve">Zeugen kontaktieren (Sara, Uwe, Giulia, Markus) — Bereitschaft zur Aussage einholen</w:t>
      </w:r>
    </w:p>
    <w:p>
      <w:pPr>
        <w:pStyle w:val="ListParagraph"/>
        <w:numPr>
          <w:ilvl w:val="0"/>
          <w:numId w:val="3"/>
        </w:numPr>
        <w:spacing w:after="80" w:before="80"/>
      </w:pPr>
      <w:r>
        <w:rPr>
          <w:rFonts w:ascii="Arial" w:cs="Arial" w:eastAsia="Arial" w:hAnsi="Arial"/>
          <w:sz w:val="22"/>
          <w:szCs w:val="22"/>
        </w:rPr>
        <w:t xml:space="preserve">Mahnbescheid-Unterlagen und Widerspruchsschreiben von Lorger dem Anwalt übergeben</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7.2 Für das Anwaltsgespräch</w:t>
      </w:r>
    </w:p>
    <w:p>
      <w:pPr>
        <w:pStyle w:val="ListParagraph"/>
        <w:numPr>
          <w:ilvl w:val="0"/>
          <w:numId w:val="2"/>
        </w:numPr>
        <w:spacing w:after="60" w:before="60"/>
      </w:pPr>
      <w:r>
        <w:rPr>
          <w:rFonts w:ascii="Arial" w:cs="Arial" w:eastAsia="Arial" w:hAnsi="Arial"/>
          <w:b w:val="false"/>
          <w:bCs w:val="false"/>
          <w:sz w:val="22"/>
          <w:szCs w:val="22"/>
        </w:rPr>
        <w:t xml:space="preserve">§548 BGB Verjährung als Hauptargument betonen — Kautionsabrechnung kam 3 Tage zu spät</w:t>
      </w:r>
    </w:p>
    <w:p>
      <w:pPr>
        <w:pStyle w:val="ListParagraph"/>
        <w:numPr>
          <w:ilvl w:val="0"/>
          <w:numId w:val="2"/>
        </w:numPr>
        <w:spacing w:after="60" w:before="60"/>
      </w:pPr>
      <w:r>
        <w:rPr>
          <w:rFonts w:ascii="Arial" w:cs="Arial" w:eastAsia="Arial" w:hAnsi="Arial"/>
          <w:b w:val="false"/>
          <w:bCs w:val="false"/>
          <w:sz w:val="22"/>
          <w:szCs w:val="22"/>
        </w:rPr>
        <w:t xml:space="preserve">Kein Einschreiben von Lorger nachweisbar — Beweislastproblem auf ihrer Seite</w:t>
      </w:r>
    </w:p>
    <w:p>
      <w:pPr>
        <w:pStyle w:val="ListParagraph"/>
        <w:numPr>
          <w:ilvl w:val="0"/>
          <w:numId w:val="2"/>
        </w:numPr>
        <w:spacing w:after="60" w:before="60"/>
      </w:pPr>
      <w:r>
        <w:rPr>
          <w:rFonts w:ascii="Arial" w:cs="Arial" w:eastAsia="Arial" w:hAnsi="Arial"/>
          <w:b w:val="false"/>
          <w:bCs w:val="false"/>
          <w:sz w:val="22"/>
          <w:szCs w:val="22"/>
        </w:rPr>
        <w:t xml:space="preserve">Defekter Zustand der Wohnung als Gegenbeweis zu Lorgers Schadensbehauptungen</w:t>
      </w:r>
    </w:p>
    <w:p>
      <w:pPr>
        <w:pStyle w:val="ListParagraph"/>
        <w:numPr>
          <w:ilvl w:val="0"/>
          <w:numId w:val="2"/>
        </w:numPr>
        <w:spacing w:after="60" w:before="60"/>
      </w:pPr>
      <w:r>
        <w:rPr>
          <w:rFonts w:ascii="Arial" w:cs="Arial" w:eastAsia="Arial" w:hAnsi="Arial"/>
          <w:b w:val="false"/>
          <w:bCs w:val="false"/>
          <w:sz w:val="22"/>
          <w:szCs w:val="22"/>
        </w:rPr>
        <w:t xml:space="preserve">Vollständige Kommunikationshistorie zeigen — Auda hat sich immer gemeldet, Lorger oft nicht</w:t>
      </w:r>
    </w:p>
    <w:p>
      <w:pPr>
        <w:pStyle w:val="ListParagraph"/>
        <w:numPr>
          <w:ilvl w:val="0"/>
          <w:numId w:val="2"/>
        </w:numPr>
        <w:spacing w:after="60" w:before="60"/>
      </w:pPr>
      <w:r>
        <w:rPr>
          <w:rFonts w:ascii="Arial" w:cs="Arial" w:eastAsia="Arial" w:hAnsi="Arial"/>
          <w:b w:val="false"/>
          <w:bCs w:val="false"/>
          <w:sz w:val="22"/>
          <w:szCs w:val="22"/>
        </w:rPr>
        <w:t xml:space="preserve">Mahnbescheid-Widerspruch: Lorger hat widersprochen → jetzt streitiges Verfahren</w:t>
      </w:r>
    </w:p>
    <w:p>
      <w:pPr>
        <w:spacing w:after="60" w:before="60"/>
      </w:pPr>
      <w:r>
        <w:t xml:space="preserve"/>
      </w:r>
    </w:p>
    <w:p>
      <w:pPr>
        <w:pStyle w:val="Heading2"/>
        <w:spacing w:after="120" w:before="300"/>
      </w:pPr>
      <w:r>
        <w:rPr>
          <w:rFonts w:ascii="Arial" w:cs="Arial" w:eastAsia="Arial" w:hAnsi="Arial"/>
          <w:b/>
          <w:bCs/>
          <w:color w:val="2E75B6"/>
          <w:sz w:val="28"/>
          <w:szCs w:val="28"/>
        </w:rPr>
        <w:t xml:space="preserve">7.3 Einschätzung der Erfolgschancen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75623" w:sz="8"/>
              <w:left w:val="single" w:color="375623" w:sz="8"/>
              <w:bottom w:val="single" w:color="375623" w:sz="8"/>
              <w:right w:val="single" w:color="375623" w:sz="8"/>
            </w:tcBorders>
            <w:shd w:fill="EBF5EB" w:val="clear"/>
            <w:tcMar>
              <w:top w:type="dxa" w:w="160"/>
              <w:left w:type="dxa" w:w="200"/>
              <w:bottom w:type="dxa" w:w="160"/>
              <w:right w:type="dxa" w:w="200"/>
            </w:tcMar>
          </w:tcPr>
          <w:p>
            <w:r>
              <w:rPr>
                <w:rFonts w:ascii="Arial" w:cs="Arial" w:eastAsia="Arial" w:hAnsi="Arial"/>
                <w:b/>
                <w:bCs/>
                <w:color w:val="375623"/>
                <w:sz w:val="24"/>
                <w:szCs w:val="24"/>
              </w:rPr>
              <w:t xml:space="preserve">CHANCEN: GUT bis SEHR GUT</w:t>
            </w:r>
          </w:p>
          <w:p>
            <w:pPr>
              <w:spacing w:after="60" w:before="60"/>
            </w:pPr>
            <w:r>
              <w:t xml:space="preserve"/>
            </w:r>
          </w:p>
          <w:p>
            <w:pPr>
              <w:pStyle w:val="ListParagraph"/>
              <w:numPr>
                <w:ilvl w:val="0"/>
                <w:numId w:val="2"/>
              </w:numPr>
              <w:spacing w:after="60" w:before="60"/>
            </w:pPr>
            <w:r>
              <w:rPr>
                <w:rFonts w:ascii="Arial" w:cs="Arial" w:eastAsia="Arial" w:hAnsi="Arial"/>
                <w:b w:val="false"/>
                <w:bCs w:val="false"/>
                <w:sz w:val="22"/>
                <w:szCs w:val="22"/>
              </w:rPr>
              <w:t xml:space="preserve">§548 BGB Verjährung: starkes juristisches Argument — Frist klar verpasst</w:t>
            </w:r>
          </w:p>
          <w:p>
            <w:pPr>
              <w:pStyle w:val="ListParagraph"/>
              <w:numPr>
                <w:ilvl w:val="0"/>
                <w:numId w:val="2"/>
              </w:numPr>
              <w:spacing w:after="60" w:before="60"/>
            </w:pPr>
            <w:r>
              <w:rPr>
                <w:rFonts w:ascii="Arial" w:cs="Arial" w:eastAsia="Arial" w:hAnsi="Arial"/>
                <w:b w:val="false"/>
                <w:bCs w:val="false"/>
                <w:sz w:val="22"/>
                <w:szCs w:val="22"/>
              </w:rPr>
              <w:t xml:space="preserve">Keine Einschreibenbelege auf Lorger-Seite: Beweisproblem für sie</w:t>
            </w:r>
          </w:p>
          <w:p>
            <w:pPr>
              <w:pStyle w:val="ListParagraph"/>
              <w:numPr>
                <w:ilvl w:val="0"/>
                <w:numId w:val="2"/>
              </w:numPr>
              <w:spacing w:after="60" w:before="60"/>
            </w:pPr>
            <w:r>
              <w:rPr>
                <w:rFonts w:ascii="Arial" w:cs="Arial" w:eastAsia="Arial" w:hAnsi="Arial"/>
                <w:b w:val="false"/>
                <w:bCs w:val="false"/>
                <w:sz w:val="22"/>
                <w:szCs w:val="22"/>
              </w:rPr>
              <w:t xml:space="preserve">Vollständige Dokumentation auf Auda-Seite: alle E-Mails und Dokumente gesichert</w:t>
            </w:r>
          </w:p>
          <w:p>
            <w:pPr>
              <w:pStyle w:val="ListParagraph"/>
              <w:numPr>
                <w:ilvl w:val="0"/>
                <w:numId w:val="2"/>
              </w:numPr>
              <w:spacing w:after="60" w:before="60"/>
            </w:pPr>
            <w:r>
              <w:rPr>
                <w:rFonts w:ascii="Arial" w:cs="Arial" w:eastAsia="Arial" w:hAnsi="Arial"/>
                <w:b w:val="false"/>
                <w:bCs w:val="false"/>
                <w:sz w:val="22"/>
                <w:szCs w:val="22"/>
              </w:rPr>
              <w:t xml:space="preserve">Schlechter Wohnungszustand: schwächt Lorgers Schadenbehauptungen</w:t>
            </w:r>
          </w:p>
          <w:p>
            <w:pPr>
              <w:pStyle w:val="ListParagraph"/>
              <w:numPr>
                <w:ilvl w:val="0"/>
                <w:numId w:val="2"/>
              </w:numPr>
              <w:spacing w:after="60" w:before="60"/>
            </w:pPr>
            <w:r>
              <w:rPr>
                <w:rFonts w:ascii="Arial" w:cs="Arial" w:eastAsia="Arial" w:hAnsi="Arial"/>
                <w:b w:val="false"/>
                <w:bCs w:val="false"/>
                <w:sz w:val="22"/>
                <w:szCs w:val="22"/>
              </w:rPr>
              <w:t xml:space="preserve">Typisch: Lorger zahlt nach erstem Anwaltsbrief, ohne Gerichtsverfahren</w:t>
            </w:r>
          </w:p>
        </w:tc>
      </w:tr>
    </w:tbl>
    <w:p>
      <w:pPr>
        <w:spacing w:after="60" w:before="60"/>
      </w:pPr>
      <w:r>
        <w:t xml:space="preserve"/>
      </w:r>
    </w:p>
    <w:p>
      <w:pPr>
        <w:spacing w:after="60" w:before="60"/>
      </w:pPr>
      <w:r>
        <w:t xml:space="preserve"/>
      </w:r>
    </w:p>
    <w:p>
      <w:pPr>
        <w:pBdr>
          <w:top w:val="single" w:color="2E75B6" w:sz="4" w:space="8"/>
        </w:pBdr>
        <w:spacing w:after="60" w:before="200"/>
        <w:jc w:val="center"/>
      </w:pPr>
      <w:r>
        <w:rPr>
          <w:rFonts w:ascii="Arial" w:cs="Arial" w:eastAsia="Arial" w:hAnsi="Arial"/>
          <w:i/>
          <w:iCs/>
          <w:color w:val="888888"/>
          <w:sz w:val="18"/>
          <w:szCs w:val="18"/>
        </w:rPr>
        <w:t xml:space="preserve">Dokument erstellt am 10. Mai 2026 · Vertraulich · Nur für internen und anwaltlichen Gebrauch</w:t>
      </w:r>
    </w:p>
    <w:p>
      <w:pPr>
        <w:spacing w:after="60" w:before="60"/>
        <w:jc w:val="center"/>
      </w:pPr>
      <w:r>
        <w:rPr>
          <w:rFonts w:ascii="Arial" w:cs="Arial" w:eastAsia="Arial" w:hAnsi="Arial"/>
          <w:color w:val="888888"/>
          <w:sz w:val="18"/>
          <w:szCs w:val="18"/>
        </w:rPr>
        <w:t xml:space="preserve">Dr. Jonas Auda · Tannhäuserstraße 11/1 · 72768 Reutlingen · jonas.auda@gmail.com</w:t>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160"/>
      <w:jc w:val="right"/>
    </w:pPr>
    <w:r>
      <w:rPr>
        <w:rFonts w:ascii="Arial" w:cs="Arial" w:eastAsia="Arial" w:hAnsi="Arial"/>
        <w:color w:val="777777"/>
        <w:sz w:val="18"/>
        <w:szCs w:val="18"/>
      </w:rPr>
      <w:t xml:space="preserve">Seite </w:t>
    </w:r>
    <w:r>
      <w:rPr>
        <w:rFonts w:ascii="Arial" w:cs="Arial" w:eastAsia="Arial" w:hAnsi="Arial"/>
        <w:color w:val="77777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spacing w:after="200"/>
    </w:pPr>
    <w:r>
      <w:rPr>
        <w:rFonts w:ascii="Arial" w:cs="Arial" w:eastAsia="Arial" w:hAnsi="Arial"/>
        <w:color w:val="777777"/>
        <w:sz w:val="18"/>
        <w:szCs w:val="18"/>
      </w:rPr>
      <w:t xml:space="preserve">VERTRAULICH — NUR FÜR ANWALT   |   Dr. Jonas Auda ./. HVW Lorger   |   Kaution 2.700 €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2026-05-10T18:23:52.434Z</dcterms:created>
  <dcterms:modified xsi:type="dcterms:W3CDTF">2026-05-10T18:23:52.434Z</dcterms:modified>
</cp:coreProperties>
</file>

<file path=docProps/custom.xml><?xml version="1.0" encoding="utf-8"?>
<Properties xmlns="http://schemas.openxmlformats.org/officeDocument/2006/custom-properties" xmlns:vt="http://schemas.openxmlformats.org/officeDocument/2006/docPropsVTypes"/>
</file>